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AF205" w14:textId="212EA3EF" w:rsidR="008B3F40" w:rsidRPr="008B3F40" w:rsidRDefault="008B3F40" w:rsidP="008B3F40">
      <w:pPr>
        <w:pStyle w:val="Header"/>
        <w:rPr>
          <w:b/>
          <w:sz w:val="24"/>
          <w:szCs w:val="28"/>
        </w:rPr>
      </w:pPr>
      <w:r w:rsidRPr="008B3F40">
        <w:rPr>
          <w:b/>
          <w:sz w:val="24"/>
          <w:szCs w:val="28"/>
        </w:rPr>
        <w:t xml:space="preserve">CVAHP </w:t>
      </w:r>
      <w:r w:rsidR="003D53A2">
        <w:rPr>
          <w:b/>
          <w:sz w:val="24"/>
          <w:szCs w:val="28"/>
        </w:rPr>
        <w:t xml:space="preserve">Certification </w:t>
      </w:r>
      <w:r w:rsidRPr="008B3F40">
        <w:rPr>
          <w:b/>
          <w:sz w:val="24"/>
          <w:szCs w:val="28"/>
        </w:rPr>
        <w:t>Eligibility</w:t>
      </w:r>
      <w:r w:rsidR="003D53A2">
        <w:rPr>
          <w:b/>
          <w:sz w:val="24"/>
          <w:szCs w:val="28"/>
        </w:rPr>
        <w:t xml:space="preserve"> and Certification </w:t>
      </w:r>
      <w:r w:rsidR="00BD6AD2">
        <w:rPr>
          <w:b/>
          <w:sz w:val="24"/>
          <w:szCs w:val="28"/>
        </w:rPr>
        <w:t>Renewal</w:t>
      </w:r>
      <w:r w:rsidRPr="008B3F40">
        <w:rPr>
          <w:b/>
          <w:sz w:val="24"/>
          <w:szCs w:val="28"/>
        </w:rPr>
        <w:t xml:space="preserve"> </w:t>
      </w:r>
    </w:p>
    <w:p w14:paraId="0F83A261" w14:textId="77777777" w:rsidR="008B3F40" w:rsidRDefault="008B3F40" w:rsidP="000D5915">
      <w:pPr>
        <w:spacing w:after="0"/>
        <w:rPr>
          <w:b/>
          <w:noProof/>
          <w:sz w:val="22"/>
          <w:szCs w:val="22"/>
        </w:rPr>
      </w:pPr>
    </w:p>
    <w:p w14:paraId="47F920AE" w14:textId="77777777" w:rsidR="008B3F40" w:rsidRDefault="008B3F40" w:rsidP="000D5915">
      <w:pPr>
        <w:spacing w:after="0"/>
        <w:rPr>
          <w:b/>
          <w:noProof/>
          <w:sz w:val="22"/>
          <w:szCs w:val="22"/>
        </w:rPr>
      </w:pPr>
      <w:r>
        <w:rPr>
          <w:b/>
          <w:noProof/>
          <w:sz w:val="22"/>
          <w:szCs w:val="22"/>
        </w:rPr>
        <w:t xml:space="preserve">Purpose </w:t>
      </w:r>
    </w:p>
    <w:p w14:paraId="3B678AF4" w14:textId="77777777" w:rsidR="008F567F" w:rsidRDefault="008B3F40" w:rsidP="000D5915">
      <w:pPr>
        <w:spacing w:after="0"/>
        <w:rPr>
          <w:noProof/>
          <w:sz w:val="22"/>
          <w:szCs w:val="22"/>
        </w:rPr>
      </w:pPr>
      <w:r>
        <w:rPr>
          <w:noProof/>
          <w:sz w:val="22"/>
          <w:szCs w:val="22"/>
        </w:rPr>
        <w:t xml:space="preserve">This policy exists to provide a description and guidelines </w:t>
      </w:r>
      <w:r w:rsidR="00BD6AD2">
        <w:rPr>
          <w:noProof/>
          <w:sz w:val="22"/>
          <w:szCs w:val="22"/>
        </w:rPr>
        <w:t xml:space="preserve">for </w:t>
      </w:r>
      <w:r>
        <w:rPr>
          <w:noProof/>
          <w:sz w:val="22"/>
          <w:szCs w:val="22"/>
        </w:rPr>
        <w:t>eligibility to apply for Certified Value Analysis Healthcare Professional (CVAHP)</w:t>
      </w:r>
      <w:r w:rsidR="00BD6AD2">
        <w:rPr>
          <w:noProof/>
          <w:sz w:val="22"/>
          <w:szCs w:val="22"/>
        </w:rPr>
        <w:t xml:space="preserve"> and requirements for certification Renewal</w:t>
      </w:r>
      <w:r>
        <w:rPr>
          <w:noProof/>
          <w:sz w:val="22"/>
          <w:szCs w:val="22"/>
        </w:rPr>
        <w:t>.</w:t>
      </w:r>
    </w:p>
    <w:p w14:paraId="0E4A8105" w14:textId="77777777" w:rsidR="008F567F" w:rsidRDefault="008F567F" w:rsidP="000D5915">
      <w:pPr>
        <w:spacing w:after="0"/>
        <w:rPr>
          <w:noProof/>
          <w:sz w:val="22"/>
          <w:szCs w:val="22"/>
        </w:rPr>
      </w:pPr>
    </w:p>
    <w:p w14:paraId="5B445024" w14:textId="77777777" w:rsidR="00BD6AD2" w:rsidRPr="00BD6AD2" w:rsidRDefault="00BD6AD2" w:rsidP="000D5915">
      <w:pPr>
        <w:spacing w:after="0"/>
        <w:rPr>
          <w:b/>
          <w:noProof/>
          <w:sz w:val="22"/>
          <w:szCs w:val="22"/>
        </w:rPr>
      </w:pPr>
      <w:r w:rsidRPr="00BD6AD2">
        <w:rPr>
          <w:b/>
          <w:noProof/>
          <w:sz w:val="22"/>
          <w:szCs w:val="22"/>
        </w:rPr>
        <w:t>Applicant Eligibility</w:t>
      </w:r>
    </w:p>
    <w:p w14:paraId="044B2F1F" w14:textId="4F833655" w:rsidR="008B3F40" w:rsidRPr="00780A2A" w:rsidRDefault="008B3F40" w:rsidP="008C336D">
      <w:pPr>
        <w:pStyle w:val="ListParagraph"/>
        <w:numPr>
          <w:ilvl w:val="0"/>
          <w:numId w:val="6"/>
        </w:numPr>
        <w:shd w:val="clear" w:color="auto" w:fill="FFFFFF"/>
        <w:spacing w:after="0" w:line="240" w:lineRule="auto"/>
        <w:rPr>
          <w:rFonts w:eastAsia="Times New Roman"/>
          <w:iCs/>
          <w:color w:val="000000"/>
          <w:sz w:val="22"/>
          <w:szCs w:val="22"/>
        </w:rPr>
      </w:pPr>
      <w:r w:rsidRPr="008B3F40">
        <w:rPr>
          <w:rFonts w:eastAsia="Times New Roman"/>
          <w:color w:val="000000"/>
          <w:sz w:val="22"/>
          <w:szCs w:val="22"/>
        </w:rPr>
        <w:t xml:space="preserve">Applicants must </w:t>
      </w:r>
      <w:r w:rsidR="008C336D">
        <w:rPr>
          <w:rFonts w:eastAsia="Times New Roman"/>
          <w:color w:val="000000"/>
          <w:sz w:val="22"/>
          <w:szCs w:val="22"/>
        </w:rPr>
        <w:t>have t</w:t>
      </w:r>
      <w:r>
        <w:rPr>
          <w:rFonts w:eastAsia="Times New Roman"/>
          <w:color w:val="000000"/>
          <w:sz w:val="22"/>
          <w:szCs w:val="22"/>
        </w:rPr>
        <w:t>wo (</w:t>
      </w:r>
      <w:r w:rsidRPr="008B3F40">
        <w:rPr>
          <w:rFonts w:eastAsia="Times New Roman"/>
          <w:color w:val="000000"/>
          <w:sz w:val="22"/>
          <w:szCs w:val="22"/>
        </w:rPr>
        <w:t>2</w:t>
      </w:r>
      <w:r>
        <w:rPr>
          <w:rFonts w:eastAsia="Times New Roman"/>
          <w:color w:val="000000"/>
          <w:sz w:val="22"/>
          <w:szCs w:val="22"/>
        </w:rPr>
        <w:t>)</w:t>
      </w:r>
      <w:r w:rsidRPr="008B3F40">
        <w:rPr>
          <w:rFonts w:eastAsia="Times New Roman"/>
          <w:color w:val="000000"/>
          <w:sz w:val="22"/>
          <w:szCs w:val="22"/>
        </w:rPr>
        <w:t xml:space="preserve"> years formal post-secondary education or higher</w:t>
      </w:r>
      <w:r>
        <w:rPr>
          <w:rFonts w:eastAsia="Times New Roman"/>
          <w:color w:val="000000"/>
          <w:sz w:val="22"/>
          <w:szCs w:val="22"/>
        </w:rPr>
        <w:t xml:space="preserve"> and three (</w:t>
      </w:r>
      <w:r w:rsidRPr="008B3F40">
        <w:rPr>
          <w:rFonts w:eastAsia="Times New Roman"/>
          <w:color w:val="000000"/>
          <w:sz w:val="22"/>
          <w:szCs w:val="22"/>
        </w:rPr>
        <w:t>3</w:t>
      </w:r>
      <w:r>
        <w:rPr>
          <w:rFonts w:eastAsia="Times New Roman"/>
          <w:color w:val="000000"/>
          <w:sz w:val="22"/>
          <w:szCs w:val="22"/>
        </w:rPr>
        <w:t>)</w:t>
      </w:r>
      <w:r w:rsidRPr="008B3F40">
        <w:rPr>
          <w:rFonts w:eastAsia="Times New Roman"/>
          <w:color w:val="000000"/>
          <w:sz w:val="22"/>
          <w:szCs w:val="22"/>
        </w:rPr>
        <w:t xml:space="preserve"> years cum</w:t>
      </w:r>
      <w:r>
        <w:rPr>
          <w:rFonts w:eastAsia="Times New Roman"/>
          <w:color w:val="000000"/>
          <w:sz w:val="22"/>
          <w:szCs w:val="22"/>
        </w:rPr>
        <w:t>ulative experience in a V</w:t>
      </w:r>
      <w:r w:rsidR="008C336D">
        <w:rPr>
          <w:rFonts w:eastAsia="Times New Roman"/>
          <w:color w:val="000000"/>
          <w:sz w:val="22"/>
          <w:szCs w:val="22"/>
        </w:rPr>
        <w:t>alue Analysis (VA)</w:t>
      </w:r>
      <w:r>
        <w:rPr>
          <w:rFonts w:eastAsia="Times New Roman"/>
          <w:color w:val="000000"/>
          <w:sz w:val="22"/>
          <w:szCs w:val="22"/>
        </w:rPr>
        <w:t xml:space="preserve"> role</w:t>
      </w:r>
      <w:r w:rsidR="008C336D">
        <w:rPr>
          <w:rFonts w:eastAsia="Times New Roman"/>
          <w:color w:val="000000"/>
          <w:sz w:val="22"/>
          <w:szCs w:val="22"/>
        </w:rPr>
        <w:t xml:space="preserve">.  </w:t>
      </w:r>
      <w:r w:rsidRPr="008C336D">
        <w:rPr>
          <w:rFonts w:eastAsia="Times New Roman"/>
          <w:iCs/>
          <w:color w:val="000000"/>
          <w:sz w:val="22"/>
          <w:szCs w:val="22"/>
        </w:rPr>
        <w:t xml:space="preserve">Cumulative experience is defined as the total length of time employed with responsibility for </w:t>
      </w:r>
      <w:r w:rsidR="008C336D">
        <w:rPr>
          <w:rFonts w:eastAsia="Times New Roman"/>
          <w:iCs/>
          <w:color w:val="000000"/>
          <w:sz w:val="22"/>
          <w:szCs w:val="22"/>
        </w:rPr>
        <w:t>participation in the value analysis process</w:t>
      </w:r>
      <w:r w:rsidRPr="008C336D">
        <w:rPr>
          <w:rFonts w:eastAsia="Times New Roman"/>
          <w:iCs/>
          <w:color w:val="000000"/>
          <w:sz w:val="22"/>
          <w:szCs w:val="22"/>
        </w:rPr>
        <w:t>. The experience does not have to be consecutive or with a single employer.</w:t>
      </w:r>
    </w:p>
    <w:p w14:paraId="75B3FE28" w14:textId="77777777" w:rsidR="008B3F40" w:rsidRDefault="008B3F40" w:rsidP="008B3F40">
      <w:pPr>
        <w:shd w:val="clear" w:color="auto" w:fill="FFFFFF"/>
        <w:spacing w:after="0" w:line="240" w:lineRule="auto"/>
        <w:rPr>
          <w:rFonts w:eastAsia="Times New Roman"/>
          <w:color w:val="000000"/>
          <w:sz w:val="22"/>
          <w:szCs w:val="22"/>
        </w:rPr>
      </w:pPr>
    </w:p>
    <w:p w14:paraId="152A38E6" w14:textId="57B443E4" w:rsidR="008B3F40" w:rsidRPr="008B3F40" w:rsidRDefault="008B3F40" w:rsidP="008B3F40">
      <w:pPr>
        <w:pStyle w:val="ListParagraph"/>
        <w:numPr>
          <w:ilvl w:val="0"/>
          <w:numId w:val="6"/>
        </w:numPr>
        <w:shd w:val="clear" w:color="auto" w:fill="FFFFFF"/>
        <w:spacing w:after="0" w:line="240" w:lineRule="auto"/>
        <w:rPr>
          <w:rFonts w:eastAsia="Times New Roman"/>
          <w:color w:val="000000"/>
          <w:sz w:val="22"/>
          <w:szCs w:val="22"/>
        </w:rPr>
      </w:pPr>
      <w:r>
        <w:rPr>
          <w:rFonts w:eastAsia="Times New Roman"/>
          <w:color w:val="000000"/>
          <w:sz w:val="22"/>
          <w:szCs w:val="22"/>
        </w:rPr>
        <w:t xml:space="preserve"> </w:t>
      </w:r>
      <w:r w:rsidRPr="008B3F40">
        <w:rPr>
          <w:rFonts w:eastAsia="Times New Roman"/>
          <w:color w:val="000000"/>
          <w:sz w:val="22"/>
          <w:szCs w:val="22"/>
        </w:rPr>
        <w:t xml:space="preserve">Experience will be </w:t>
      </w:r>
      <w:r>
        <w:rPr>
          <w:rFonts w:eastAsia="Times New Roman"/>
          <w:color w:val="000000"/>
          <w:sz w:val="22"/>
          <w:szCs w:val="22"/>
        </w:rPr>
        <w:t xml:space="preserve">verified </w:t>
      </w:r>
      <w:r w:rsidR="008C336D">
        <w:rPr>
          <w:rFonts w:eastAsia="Times New Roman"/>
          <w:color w:val="000000"/>
          <w:sz w:val="22"/>
          <w:szCs w:val="22"/>
        </w:rPr>
        <w:t>by</w:t>
      </w:r>
      <w:r>
        <w:rPr>
          <w:rFonts w:eastAsia="Times New Roman"/>
          <w:color w:val="000000"/>
          <w:sz w:val="22"/>
          <w:szCs w:val="22"/>
        </w:rPr>
        <w:t xml:space="preserve"> one (1) of two (2) methods</w:t>
      </w:r>
      <w:r w:rsidRPr="008B3F40">
        <w:rPr>
          <w:rFonts w:eastAsia="Times New Roman"/>
          <w:color w:val="000000"/>
          <w:sz w:val="22"/>
          <w:szCs w:val="22"/>
        </w:rPr>
        <w:t>:</w:t>
      </w:r>
    </w:p>
    <w:p w14:paraId="0FD5867B" w14:textId="67BAD27E" w:rsidR="008B3F40" w:rsidRPr="00780A2A" w:rsidRDefault="002C1E8E" w:rsidP="00682FBD">
      <w:pPr>
        <w:numPr>
          <w:ilvl w:val="0"/>
          <w:numId w:val="10"/>
        </w:numPr>
        <w:shd w:val="clear" w:color="auto" w:fill="FFFFFF"/>
        <w:spacing w:after="0" w:line="240" w:lineRule="auto"/>
        <w:rPr>
          <w:rFonts w:eastAsia="Times New Roman"/>
          <w:color w:val="000000"/>
          <w:sz w:val="22"/>
          <w:szCs w:val="22"/>
        </w:rPr>
      </w:pPr>
      <w:r w:rsidRPr="00780A2A">
        <w:rPr>
          <w:sz w:val="22"/>
          <w:szCs w:val="22"/>
        </w:rPr>
        <w:t>Submission of a letter of reference from the applicant’s manager/director/supervisor verifying that the candidate performs the job functions of a value analysis professional and meets the requirements to sit for certification</w:t>
      </w:r>
      <w:r w:rsidRPr="00780A2A">
        <w:rPr>
          <w:rFonts w:eastAsia="Times New Roman"/>
          <w:color w:val="000000"/>
          <w:sz w:val="22"/>
          <w:szCs w:val="22"/>
        </w:rPr>
        <w:t xml:space="preserve"> and confirmation from the applicant’s human resources department of tenure in the role (may include documentation from more than one organization in the event they changed employers).</w:t>
      </w:r>
    </w:p>
    <w:p w14:paraId="4B433334" w14:textId="3A86C5E1" w:rsidR="00682FBD" w:rsidRPr="00780A2A" w:rsidRDefault="002C1E8E" w:rsidP="00780A2A">
      <w:pPr>
        <w:numPr>
          <w:ilvl w:val="0"/>
          <w:numId w:val="10"/>
        </w:numPr>
        <w:shd w:val="clear" w:color="auto" w:fill="FFFFFF"/>
        <w:spacing w:after="0" w:line="240" w:lineRule="auto"/>
        <w:rPr>
          <w:rFonts w:eastAsia="Times New Roman"/>
          <w:color w:val="000000"/>
          <w:sz w:val="22"/>
          <w:szCs w:val="22"/>
        </w:rPr>
      </w:pPr>
      <w:r w:rsidRPr="00780A2A">
        <w:rPr>
          <w:sz w:val="22"/>
          <w:szCs w:val="22"/>
        </w:rPr>
        <w:t>Submission of a copy of their job description that specifies responsibility for the job functions of a value analysis professional and confirmation from their human resources department of their tenure in this role (may be documentation from more than one organization in the event they changed employers)</w:t>
      </w:r>
      <w:r w:rsidR="00780A2A">
        <w:rPr>
          <w:sz w:val="22"/>
          <w:szCs w:val="22"/>
        </w:rPr>
        <w:t>.</w:t>
      </w:r>
    </w:p>
    <w:p w14:paraId="6C10292E" w14:textId="77777777" w:rsidR="008B3F40" w:rsidRPr="00682FBD" w:rsidRDefault="008B3F40" w:rsidP="00682FBD">
      <w:pPr>
        <w:numPr>
          <w:ilvl w:val="0"/>
          <w:numId w:val="12"/>
        </w:numPr>
        <w:shd w:val="clear" w:color="auto" w:fill="FFFFFF"/>
        <w:spacing w:after="0" w:line="240" w:lineRule="auto"/>
        <w:rPr>
          <w:rFonts w:eastAsia="Times New Roman"/>
          <w:color w:val="000000"/>
          <w:sz w:val="22"/>
          <w:szCs w:val="22"/>
        </w:rPr>
      </w:pPr>
      <w:r w:rsidRPr="00682FBD">
        <w:rPr>
          <w:rFonts w:eastAsia="Times New Roman"/>
          <w:color w:val="000000"/>
          <w:sz w:val="22"/>
          <w:szCs w:val="22"/>
        </w:rPr>
        <w:t>Examples of job functions within a letter of reference or job descriptions include but are not limited to:</w:t>
      </w:r>
    </w:p>
    <w:p w14:paraId="4308BB01" w14:textId="77777777" w:rsidR="008B3F40" w:rsidRPr="008B3F40" w:rsidRDefault="008B3F40" w:rsidP="00682FBD">
      <w:pPr>
        <w:numPr>
          <w:ilvl w:val="1"/>
          <w:numId w:val="11"/>
        </w:numPr>
        <w:shd w:val="clear" w:color="auto" w:fill="FFFFFF"/>
        <w:tabs>
          <w:tab w:val="clear" w:pos="1800"/>
        </w:tabs>
        <w:spacing w:after="0" w:line="240" w:lineRule="auto"/>
        <w:ind w:left="1440"/>
        <w:rPr>
          <w:rFonts w:eastAsia="Times New Roman"/>
          <w:color w:val="000000"/>
          <w:sz w:val="22"/>
          <w:szCs w:val="22"/>
        </w:rPr>
      </w:pPr>
      <w:r w:rsidRPr="008B3F40">
        <w:rPr>
          <w:rFonts w:eastAsia="Times New Roman"/>
          <w:color w:val="000000"/>
          <w:sz w:val="22"/>
          <w:szCs w:val="22"/>
        </w:rPr>
        <w:t>Evaluat</w:t>
      </w:r>
      <w:r>
        <w:rPr>
          <w:rFonts w:eastAsia="Times New Roman"/>
          <w:color w:val="000000"/>
          <w:sz w:val="22"/>
          <w:szCs w:val="22"/>
        </w:rPr>
        <w:t>ing</w:t>
      </w:r>
      <w:r w:rsidRPr="008B3F40">
        <w:rPr>
          <w:rFonts w:eastAsia="Times New Roman"/>
          <w:color w:val="000000"/>
          <w:sz w:val="22"/>
          <w:szCs w:val="22"/>
        </w:rPr>
        <w:t xml:space="preserve"> product or service requests to include clear financial and evidence based criteria</w:t>
      </w:r>
    </w:p>
    <w:p w14:paraId="40FAE16A" w14:textId="30BE1C0B" w:rsidR="008B3F40" w:rsidRPr="008B3F40" w:rsidRDefault="008B3F40" w:rsidP="00682FBD">
      <w:pPr>
        <w:numPr>
          <w:ilvl w:val="1"/>
          <w:numId w:val="11"/>
        </w:numPr>
        <w:shd w:val="clear" w:color="auto" w:fill="FFFFFF"/>
        <w:tabs>
          <w:tab w:val="clear" w:pos="1800"/>
        </w:tabs>
        <w:spacing w:after="0" w:line="240" w:lineRule="auto"/>
        <w:ind w:left="1440"/>
        <w:rPr>
          <w:rFonts w:eastAsia="Times New Roman"/>
          <w:color w:val="000000"/>
          <w:sz w:val="22"/>
          <w:szCs w:val="22"/>
        </w:rPr>
      </w:pPr>
      <w:r w:rsidRPr="008B3F40">
        <w:rPr>
          <w:rFonts w:eastAsia="Times New Roman"/>
          <w:color w:val="000000"/>
          <w:sz w:val="22"/>
          <w:szCs w:val="22"/>
        </w:rPr>
        <w:t>Coordinat</w:t>
      </w:r>
      <w:r>
        <w:rPr>
          <w:rFonts w:eastAsia="Times New Roman"/>
          <w:color w:val="000000"/>
          <w:sz w:val="22"/>
          <w:szCs w:val="22"/>
        </w:rPr>
        <w:t>ing</w:t>
      </w:r>
      <w:r w:rsidR="00F05396">
        <w:rPr>
          <w:rFonts w:eastAsia="Times New Roman"/>
          <w:color w:val="000000"/>
          <w:sz w:val="22"/>
          <w:szCs w:val="22"/>
        </w:rPr>
        <w:t xml:space="preserve"> or facilitating</w:t>
      </w:r>
      <w:r w:rsidRPr="008B3F40">
        <w:rPr>
          <w:rFonts w:eastAsia="Times New Roman"/>
          <w:color w:val="000000"/>
          <w:sz w:val="22"/>
          <w:szCs w:val="22"/>
        </w:rPr>
        <w:t xml:space="preserve"> stakeholder teams that provide input into decisions</w:t>
      </w:r>
    </w:p>
    <w:p w14:paraId="73A6875B" w14:textId="77777777" w:rsidR="008B3F40" w:rsidRPr="008B3F40" w:rsidRDefault="008B3F40" w:rsidP="00682FBD">
      <w:pPr>
        <w:numPr>
          <w:ilvl w:val="1"/>
          <w:numId w:val="11"/>
        </w:numPr>
        <w:shd w:val="clear" w:color="auto" w:fill="FFFFFF"/>
        <w:tabs>
          <w:tab w:val="clear" w:pos="1800"/>
        </w:tabs>
        <w:spacing w:after="0" w:line="240" w:lineRule="auto"/>
        <w:ind w:left="1440"/>
        <w:rPr>
          <w:rFonts w:eastAsia="Times New Roman"/>
          <w:color w:val="000000"/>
          <w:sz w:val="22"/>
          <w:szCs w:val="22"/>
        </w:rPr>
      </w:pPr>
      <w:r w:rsidRPr="008B3F40">
        <w:rPr>
          <w:rFonts w:eastAsia="Times New Roman"/>
          <w:color w:val="000000"/>
          <w:sz w:val="22"/>
          <w:szCs w:val="22"/>
        </w:rPr>
        <w:t>Coordinat</w:t>
      </w:r>
      <w:r>
        <w:rPr>
          <w:rFonts w:eastAsia="Times New Roman"/>
          <w:color w:val="000000"/>
          <w:sz w:val="22"/>
          <w:szCs w:val="22"/>
        </w:rPr>
        <w:t>ing</w:t>
      </w:r>
      <w:r w:rsidRPr="008B3F40">
        <w:rPr>
          <w:rFonts w:eastAsia="Times New Roman"/>
          <w:color w:val="000000"/>
          <w:sz w:val="22"/>
          <w:szCs w:val="22"/>
        </w:rPr>
        <w:t xml:space="preserve"> product or service conversion or additions</w:t>
      </w:r>
    </w:p>
    <w:p w14:paraId="56A3A4D2" w14:textId="77777777" w:rsidR="008B3F40" w:rsidRPr="008B3F40" w:rsidRDefault="008B3F40" w:rsidP="00682FBD">
      <w:pPr>
        <w:numPr>
          <w:ilvl w:val="1"/>
          <w:numId w:val="11"/>
        </w:numPr>
        <w:shd w:val="clear" w:color="auto" w:fill="FFFFFF"/>
        <w:tabs>
          <w:tab w:val="clear" w:pos="1800"/>
        </w:tabs>
        <w:spacing w:after="0" w:line="240" w:lineRule="auto"/>
        <w:ind w:left="1440"/>
        <w:rPr>
          <w:rFonts w:eastAsia="Times New Roman"/>
          <w:color w:val="000000"/>
          <w:sz w:val="22"/>
          <w:szCs w:val="22"/>
        </w:rPr>
      </w:pPr>
      <w:r w:rsidRPr="008B3F40">
        <w:rPr>
          <w:rFonts w:eastAsia="Times New Roman"/>
          <w:color w:val="000000"/>
          <w:sz w:val="22"/>
          <w:szCs w:val="22"/>
        </w:rPr>
        <w:t>Develop</w:t>
      </w:r>
      <w:r>
        <w:rPr>
          <w:rFonts w:eastAsia="Times New Roman"/>
          <w:color w:val="000000"/>
          <w:sz w:val="22"/>
          <w:szCs w:val="22"/>
        </w:rPr>
        <w:t>ing</w:t>
      </w:r>
      <w:r w:rsidRPr="008B3F40">
        <w:rPr>
          <w:rFonts w:eastAsia="Times New Roman"/>
          <w:color w:val="000000"/>
          <w:sz w:val="22"/>
          <w:szCs w:val="22"/>
        </w:rPr>
        <w:t xml:space="preserve"> and implement</w:t>
      </w:r>
      <w:r>
        <w:rPr>
          <w:rFonts w:eastAsia="Times New Roman"/>
          <w:color w:val="000000"/>
          <w:sz w:val="22"/>
          <w:szCs w:val="22"/>
        </w:rPr>
        <w:t>ing</w:t>
      </w:r>
      <w:r w:rsidRPr="008B3F40">
        <w:rPr>
          <w:rFonts w:eastAsia="Times New Roman"/>
          <w:color w:val="000000"/>
          <w:sz w:val="22"/>
          <w:szCs w:val="22"/>
        </w:rPr>
        <w:t xml:space="preserve"> standardization, utilization and cost reduction activities related to products and services</w:t>
      </w:r>
    </w:p>
    <w:p w14:paraId="5EF6E261" w14:textId="77777777" w:rsidR="008B3F40" w:rsidRPr="008B3F40" w:rsidRDefault="008B3F40" w:rsidP="00682FBD">
      <w:pPr>
        <w:numPr>
          <w:ilvl w:val="1"/>
          <w:numId w:val="11"/>
        </w:numPr>
        <w:shd w:val="clear" w:color="auto" w:fill="FFFFFF"/>
        <w:tabs>
          <w:tab w:val="clear" w:pos="1800"/>
        </w:tabs>
        <w:spacing w:after="0" w:line="240" w:lineRule="auto"/>
        <w:ind w:left="1440"/>
        <w:rPr>
          <w:rFonts w:eastAsia="Times New Roman"/>
          <w:color w:val="000000"/>
          <w:sz w:val="22"/>
          <w:szCs w:val="22"/>
        </w:rPr>
      </w:pPr>
      <w:r w:rsidRPr="008B3F40">
        <w:rPr>
          <w:rFonts w:eastAsia="Times New Roman"/>
          <w:color w:val="000000"/>
          <w:sz w:val="22"/>
          <w:szCs w:val="22"/>
        </w:rPr>
        <w:t>Monitor</w:t>
      </w:r>
      <w:r>
        <w:rPr>
          <w:rFonts w:eastAsia="Times New Roman"/>
          <w:color w:val="000000"/>
          <w:sz w:val="22"/>
          <w:szCs w:val="22"/>
        </w:rPr>
        <w:t>ing</w:t>
      </w:r>
      <w:r w:rsidRPr="008B3F40">
        <w:rPr>
          <w:rFonts w:eastAsia="Times New Roman"/>
          <w:color w:val="000000"/>
          <w:sz w:val="22"/>
          <w:szCs w:val="22"/>
        </w:rPr>
        <w:t xml:space="preserve"> and report</w:t>
      </w:r>
      <w:r>
        <w:rPr>
          <w:rFonts w:eastAsia="Times New Roman"/>
          <w:color w:val="000000"/>
          <w:sz w:val="22"/>
          <w:szCs w:val="22"/>
        </w:rPr>
        <w:t>ing</w:t>
      </w:r>
      <w:r w:rsidRPr="008B3F40">
        <w:rPr>
          <w:rFonts w:eastAsia="Times New Roman"/>
          <w:color w:val="000000"/>
          <w:sz w:val="22"/>
          <w:szCs w:val="22"/>
        </w:rPr>
        <w:t xml:space="preserve"> program metrics to leaders and associates</w:t>
      </w:r>
    </w:p>
    <w:p w14:paraId="40579820" w14:textId="77777777" w:rsidR="008B3F40" w:rsidRPr="008B3F40" w:rsidRDefault="008B3F40" w:rsidP="00682FBD">
      <w:pPr>
        <w:numPr>
          <w:ilvl w:val="1"/>
          <w:numId w:val="11"/>
        </w:numPr>
        <w:shd w:val="clear" w:color="auto" w:fill="FFFFFF"/>
        <w:tabs>
          <w:tab w:val="clear" w:pos="1800"/>
        </w:tabs>
        <w:spacing w:after="0" w:line="240" w:lineRule="auto"/>
        <w:ind w:left="1440"/>
        <w:rPr>
          <w:rFonts w:eastAsia="Times New Roman"/>
          <w:color w:val="000000"/>
          <w:sz w:val="22"/>
          <w:szCs w:val="22"/>
        </w:rPr>
      </w:pPr>
      <w:r>
        <w:rPr>
          <w:rFonts w:eastAsia="Times New Roman"/>
          <w:color w:val="000000"/>
          <w:sz w:val="22"/>
          <w:szCs w:val="22"/>
        </w:rPr>
        <w:t>Coordinating</w:t>
      </w:r>
      <w:r w:rsidRPr="008B3F40">
        <w:rPr>
          <w:rFonts w:eastAsia="Times New Roman"/>
          <w:color w:val="000000"/>
          <w:sz w:val="22"/>
          <w:szCs w:val="22"/>
        </w:rPr>
        <w:t xml:space="preserve"> post conversion follow up activities and measures</w:t>
      </w:r>
    </w:p>
    <w:p w14:paraId="7B73EB3F" w14:textId="77777777" w:rsidR="00682FBD" w:rsidRDefault="00682FBD" w:rsidP="00682FBD">
      <w:pPr>
        <w:shd w:val="clear" w:color="auto" w:fill="FFFFFF"/>
        <w:spacing w:after="0" w:line="240" w:lineRule="auto"/>
        <w:rPr>
          <w:rFonts w:eastAsia="Times New Roman"/>
          <w:color w:val="000000"/>
          <w:sz w:val="22"/>
          <w:szCs w:val="22"/>
        </w:rPr>
      </w:pPr>
    </w:p>
    <w:p w14:paraId="295E30A8" w14:textId="77777777" w:rsidR="004A6D33" w:rsidRDefault="00F05E47" w:rsidP="00682FBD">
      <w:pPr>
        <w:shd w:val="clear" w:color="auto" w:fill="FFFFFF"/>
        <w:spacing w:after="0" w:line="240" w:lineRule="auto"/>
        <w:rPr>
          <w:rFonts w:eastAsia="Times New Roman"/>
          <w:color w:val="000000"/>
          <w:sz w:val="22"/>
          <w:szCs w:val="22"/>
        </w:rPr>
      </w:pPr>
      <w:r w:rsidRPr="004A6D33">
        <w:rPr>
          <w:rFonts w:eastAsia="Times New Roman"/>
          <w:b/>
          <w:color w:val="000000"/>
          <w:sz w:val="22"/>
          <w:szCs w:val="22"/>
        </w:rPr>
        <w:t xml:space="preserve">Certification </w:t>
      </w:r>
    </w:p>
    <w:p w14:paraId="0AD8C307" w14:textId="6E801AA0" w:rsidR="00F05E47" w:rsidRDefault="004A6D33" w:rsidP="00682FBD">
      <w:pPr>
        <w:shd w:val="clear" w:color="auto" w:fill="FFFFFF"/>
        <w:spacing w:after="0" w:line="240" w:lineRule="auto"/>
        <w:rPr>
          <w:rFonts w:eastAsia="Times New Roman"/>
          <w:color w:val="000000"/>
          <w:sz w:val="22"/>
          <w:szCs w:val="22"/>
        </w:rPr>
      </w:pPr>
      <w:r>
        <w:rPr>
          <w:rFonts w:eastAsia="Times New Roman"/>
          <w:color w:val="000000"/>
          <w:sz w:val="22"/>
          <w:szCs w:val="22"/>
        </w:rPr>
        <w:t xml:space="preserve">Certification </w:t>
      </w:r>
      <w:r w:rsidR="00F05E47">
        <w:rPr>
          <w:rFonts w:eastAsia="Times New Roman"/>
          <w:color w:val="000000"/>
          <w:sz w:val="22"/>
          <w:szCs w:val="22"/>
        </w:rPr>
        <w:t xml:space="preserve">will be awarded to candidates </w:t>
      </w:r>
      <w:r>
        <w:rPr>
          <w:rFonts w:eastAsia="Times New Roman"/>
          <w:color w:val="000000"/>
          <w:sz w:val="22"/>
          <w:szCs w:val="22"/>
        </w:rPr>
        <w:t>who</w:t>
      </w:r>
      <w:r w:rsidR="00F05E47">
        <w:rPr>
          <w:rFonts w:eastAsia="Times New Roman"/>
          <w:color w:val="000000"/>
          <w:sz w:val="22"/>
          <w:szCs w:val="22"/>
        </w:rPr>
        <w:t xml:space="preserve"> achieve a passing score on the Certification of Value Analysis </w:t>
      </w:r>
      <w:r>
        <w:rPr>
          <w:rFonts w:eastAsia="Times New Roman"/>
          <w:color w:val="000000"/>
          <w:sz w:val="22"/>
          <w:szCs w:val="22"/>
        </w:rPr>
        <w:t xml:space="preserve">for </w:t>
      </w:r>
      <w:r w:rsidR="00F05E47">
        <w:rPr>
          <w:rFonts w:eastAsia="Times New Roman"/>
          <w:color w:val="000000"/>
          <w:sz w:val="22"/>
          <w:szCs w:val="22"/>
        </w:rPr>
        <w:t>Healthcare Professionals</w:t>
      </w:r>
      <w:r>
        <w:rPr>
          <w:rFonts w:eastAsia="Times New Roman"/>
          <w:color w:val="000000"/>
          <w:sz w:val="22"/>
          <w:szCs w:val="22"/>
        </w:rPr>
        <w:t xml:space="preserve"> examination.</w:t>
      </w:r>
    </w:p>
    <w:p w14:paraId="1FB36657" w14:textId="77777777" w:rsidR="00682FBD" w:rsidRPr="004A6D33" w:rsidRDefault="00682FBD" w:rsidP="004A6D33">
      <w:pPr>
        <w:shd w:val="clear" w:color="auto" w:fill="FFFFFF"/>
        <w:tabs>
          <w:tab w:val="left" w:pos="360"/>
        </w:tabs>
        <w:spacing w:after="0" w:line="240" w:lineRule="auto"/>
        <w:rPr>
          <w:rFonts w:eastAsia="Times New Roman"/>
          <w:color w:val="000000"/>
          <w:sz w:val="22"/>
          <w:szCs w:val="22"/>
        </w:rPr>
      </w:pPr>
    </w:p>
    <w:p w14:paraId="45132406" w14:textId="77777777" w:rsidR="00BD6AD2" w:rsidRDefault="00BD6AD2" w:rsidP="008B3F40">
      <w:pPr>
        <w:spacing w:after="0" w:line="240" w:lineRule="auto"/>
        <w:rPr>
          <w:b/>
          <w:sz w:val="22"/>
          <w:szCs w:val="22"/>
        </w:rPr>
      </w:pPr>
      <w:r w:rsidRPr="00BD6AD2">
        <w:rPr>
          <w:b/>
          <w:sz w:val="22"/>
          <w:szCs w:val="22"/>
        </w:rPr>
        <w:t>Certification Renewal</w:t>
      </w:r>
    </w:p>
    <w:p w14:paraId="0A59E0D6" w14:textId="6593C3B2" w:rsidR="00F535A7" w:rsidRPr="003F4EDF" w:rsidRDefault="004A6D33" w:rsidP="003F4EDF">
      <w:pPr>
        <w:spacing w:after="240" w:line="240" w:lineRule="auto"/>
        <w:rPr>
          <w:rFonts w:eastAsia="Times New Roman"/>
          <w:color w:val="000000"/>
          <w:sz w:val="22"/>
          <w:szCs w:val="22"/>
        </w:rPr>
      </w:pPr>
      <w:r>
        <w:rPr>
          <w:rFonts w:eastAsia="Times New Roman"/>
          <w:bCs/>
          <w:color w:val="000000"/>
          <w:sz w:val="22"/>
          <w:szCs w:val="22"/>
        </w:rPr>
        <w:t>The c</w:t>
      </w:r>
      <w:r w:rsidR="00F535A7" w:rsidRPr="003F4EDF">
        <w:rPr>
          <w:rFonts w:eastAsia="Times New Roman"/>
          <w:bCs/>
          <w:color w:val="000000"/>
          <w:sz w:val="22"/>
          <w:szCs w:val="22"/>
        </w:rPr>
        <w:t>ertification term is three (3) years</w:t>
      </w:r>
      <w:r w:rsidR="00701038">
        <w:rPr>
          <w:rFonts w:eastAsia="Times New Roman"/>
          <w:bCs/>
          <w:color w:val="000000"/>
          <w:sz w:val="22"/>
          <w:szCs w:val="22"/>
        </w:rPr>
        <w:t>.  Unless renewed, certification expires three years f</w:t>
      </w:r>
      <w:r>
        <w:rPr>
          <w:rFonts w:eastAsia="Times New Roman"/>
          <w:bCs/>
          <w:color w:val="000000"/>
          <w:sz w:val="22"/>
          <w:szCs w:val="22"/>
        </w:rPr>
        <w:t>rom the date referenced on the</w:t>
      </w:r>
      <w:r w:rsidR="00701038">
        <w:rPr>
          <w:rFonts w:eastAsia="Times New Roman"/>
          <w:bCs/>
          <w:color w:val="000000"/>
          <w:sz w:val="22"/>
          <w:szCs w:val="22"/>
        </w:rPr>
        <w:t xml:space="preserve"> Certification certificate</w:t>
      </w:r>
      <w:r w:rsidR="00F535A7" w:rsidRPr="003F4EDF">
        <w:rPr>
          <w:rFonts w:eastAsia="Times New Roman"/>
          <w:bCs/>
          <w:color w:val="000000"/>
          <w:sz w:val="22"/>
          <w:szCs w:val="22"/>
        </w:rPr>
        <w:t xml:space="preserve">.  To be eligible for renewal applicants must </w:t>
      </w:r>
      <w:r w:rsidR="00701038">
        <w:rPr>
          <w:rFonts w:eastAsia="Times New Roman"/>
          <w:bCs/>
          <w:color w:val="000000"/>
          <w:sz w:val="22"/>
          <w:szCs w:val="22"/>
        </w:rPr>
        <w:t xml:space="preserve">submit a record of their </w:t>
      </w:r>
      <w:r w:rsidR="00F535A7" w:rsidRPr="003F4EDF">
        <w:rPr>
          <w:rFonts w:eastAsia="Times New Roman"/>
          <w:bCs/>
          <w:color w:val="000000"/>
          <w:sz w:val="22"/>
          <w:szCs w:val="22"/>
        </w:rPr>
        <w:t>required educational credits</w:t>
      </w:r>
      <w:r w:rsidR="003F4EDF">
        <w:rPr>
          <w:rFonts w:eastAsia="Times New Roman"/>
          <w:bCs/>
          <w:color w:val="000000"/>
          <w:sz w:val="22"/>
          <w:szCs w:val="22"/>
        </w:rPr>
        <w:t xml:space="preserve"> </w:t>
      </w:r>
      <w:r w:rsidR="00701038">
        <w:rPr>
          <w:rFonts w:eastAsia="Times New Roman"/>
          <w:bCs/>
          <w:color w:val="000000"/>
          <w:sz w:val="22"/>
          <w:szCs w:val="22"/>
        </w:rPr>
        <w:t xml:space="preserve">and the renewal fee </w:t>
      </w:r>
      <w:r w:rsidR="00701038" w:rsidRPr="004A6D33">
        <w:rPr>
          <w:rFonts w:eastAsia="Times New Roman"/>
          <w:bCs/>
          <w:color w:val="000000"/>
          <w:sz w:val="22"/>
          <w:szCs w:val="22"/>
          <w:u w:val="single"/>
        </w:rPr>
        <w:t>prior to the</w:t>
      </w:r>
      <w:r w:rsidR="003F4EDF" w:rsidRPr="004A6D33">
        <w:rPr>
          <w:rFonts w:eastAsia="Times New Roman"/>
          <w:bCs/>
          <w:color w:val="000000"/>
          <w:sz w:val="22"/>
          <w:szCs w:val="22"/>
          <w:u w:val="single"/>
        </w:rPr>
        <w:t xml:space="preserve"> expiration of their certificatio</w:t>
      </w:r>
      <w:r w:rsidR="00701038" w:rsidRPr="004A6D33">
        <w:rPr>
          <w:rFonts w:eastAsia="Times New Roman"/>
          <w:bCs/>
          <w:color w:val="000000"/>
          <w:sz w:val="22"/>
          <w:szCs w:val="22"/>
          <w:u w:val="single"/>
        </w:rPr>
        <w:t>n</w:t>
      </w:r>
      <w:r w:rsidR="00F535A7" w:rsidRPr="003F4EDF">
        <w:rPr>
          <w:rFonts w:eastAsia="Times New Roman"/>
          <w:bCs/>
          <w:color w:val="000000"/>
          <w:sz w:val="22"/>
          <w:szCs w:val="22"/>
        </w:rPr>
        <w:t>.</w:t>
      </w:r>
    </w:p>
    <w:p w14:paraId="4A3A49BC" w14:textId="4109DDB6" w:rsidR="0026136F" w:rsidRDefault="0026136F" w:rsidP="00F535A7">
      <w:pPr>
        <w:pStyle w:val="ListParagraph"/>
        <w:numPr>
          <w:ilvl w:val="1"/>
          <w:numId w:val="16"/>
        </w:numPr>
        <w:spacing w:after="240" w:line="240" w:lineRule="auto"/>
        <w:rPr>
          <w:rFonts w:eastAsia="Times New Roman"/>
          <w:color w:val="000000"/>
          <w:sz w:val="22"/>
          <w:szCs w:val="22"/>
        </w:rPr>
      </w:pPr>
      <w:r>
        <w:rPr>
          <w:rFonts w:eastAsia="Times New Roman"/>
          <w:color w:val="000000"/>
          <w:sz w:val="22"/>
          <w:szCs w:val="22"/>
        </w:rPr>
        <w:t>Renewal reminders will be sent 90 days, 60 days and 30 days prior to the certification expiration date.</w:t>
      </w:r>
    </w:p>
    <w:p w14:paraId="35131F60" w14:textId="77777777" w:rsidR="00F535A7" w:rsidRDefault="00F535A7" w:rsidP="00F535A7">
      <w:pPr>
        <w:pStyle w:val="ListParagraph"/>
        <w:numPr>
          <w:ilvl w:val="1"/>
          <w:numId w:val="16"/>
        </w:numPr>
        <w:spacing w:after="240" w:line="240" w:lineRule="auto"/>
        <w:rPr>
          <w:rFonts w:eastAsia="Times New Roman"/>
          <w:color w:val="000000"/>
          <w:sz w:val="22"/>
          <w:szCs w:val="22"/>
        </w:rPr>
      </w:pPr>
      <w:r>
        <w:rPr>
          <w:rFonts w:eastAsia="Times New Roman"/>
          <w:color w:val="000000"/>
          <w:sz w:val="22"/>
          <w:szCs w:val="22"/>
        </w:rPr>
        <w:t xml:space="preserve">Applicants are </w:t>
      </w:r>
      <w:r w:rsidRPr="00F535A7">
        <w:rPr>
          <w:rFonts w:eastAsia="Times New Roman"/>
          <w:color w:val="000000"/>
          <w:sz w:val="22"/>
          <w:szCs w:val="22"/>
        </w:rPr>
        <w:t xml:space="preserve">required to submit a record of completion of </w:t>
      </w:r>
      <w:r>
        <w:rPr>
          <w:rFonts w:eastAsia="Times New Roman"/>
          <w:color w:val="000000"/>
          <w:sz w:val="22"/>
          <w:szCs w:val="22"/>
        </w:rPr>
        <w:t>forty-five (</w:t>
      </w:r>
      <w:r w:rsidRPr="00F535A7">
        <w:rPr>
          <w:rFonts w:eastAsia="Times New Roman"/>
          <w:color w:val="000000"/>
          <w:sz w:val="22"/>
          <w:szCs w:val="22"/>
        </w:rPr>
        <w:t>45</w:t>
      </w:r>
      <w:r>
        <w:rPr>
          <w:rFonts w:eastAsia="Times New Roman"/>
          <w:color w:val="000000"/>
          <w:sz w:val="22"/>
          <w:szCs w:val="22"/>
        </w:rPr>
        <w:t>)</w:t>
      </w:r>
      <w:r w:rsidRPr="00F535A7">
        <w:rPr>
          <w:rFonts w:eastAsia="Times New Roman"/>
          <w:color w:val="000000"/>
          <w:sz w:val="22"/>
          <w:szCs w:val="22"/>
        </w:rPr>
        <w:t xml:space="preserve"> hours of educational credits related to the </w:t>
      </w:r>
      <w:r>
        <w:rPr>
          <w:rFonts w:eastAsia="Times New Roman"/>
          <w:color w:val="000000"/>
          <w:sz w:val="22"/>
          <w:szCs w:val="22"/>
        </w:rPr>
        <w:t xml:space="preserve">value analysis </w:t>
      </w:r>
      <w:r w:rsidRPr="00F535A7">
        <w:rPr>
          <w:rFonts w:eastAsia="Times New Roman"/>
          <w:color w:val="000000"/>
          <w:sz w:val="22"/>
          <w:szCs w:val="22"/>
        </w:rPr>
        <w:t xml:space="preserve">field and/or professional development. </w:t>
      </w:r>
    </w:p>
    <w:p w14:paraId="39A7711B" w14:textId="322DBCDD" w:rsidR="00F535A7" w:rsidRDefault="00F535A7" w:rsidP="00F535A7">
      <w:pPr>
        <w:pStyle w:val="ListParagraph"/>
        <w:numPr>
          <w:ilvl w:val="1"/>
          <w:numId w:val="16"/>
        </w:numPr>
        <w:spacing w:after="240" w:line="240" w:lineRule="auto"/>
        <w:rPr>
          <w:rFonts w:eastAsia="Times New Roman"/>
          <w:color w:val="000000"/>
          <w:sz w:val="22"/>
          <w:szCs w:val="22"/>
        </w:rPr>
      </w:pPr>
      <w:r w:rsidRPr="00F535A7">
        <w:rPr>
          <w:rFonts w:eastAsia="Times New Roman"/>
          <w:color w:val="000000"/>
          <w:sz w:val="22"/>
          <w:szCs w:val="22"/>
        </w:rPr>
        <w:t xml:space="preserve">Qualifying educational credits must be awarded by a professional </w:t>
      </w:r>
      <w:r w:rsidR="00701038">
        <w:rPr>
          <w:rFonts w:eastAsia="Times New Roman"/>
          <w:color w:val="000000"/>
          <w:sz w:val="22"/>
          <w:szCs w:val="22"/>
        </w:rPr>
        <w:t>organization</w:t>
      </w:r>
      <w:r w:rsidRPr="00F535A7">
        <w:rPr>
          <w:rFonts w:eastAsia="Times New Roman"/>
          <w:color w:val="000000"/>
          <w:sz w:val="22"/>
          <w:szCs w:val="22"/>
        </w:rPr>
        <w:t>.</w:t>
      </w:r>
    </w:p>
    <w:p w14:paraId="519809DA" w14:textId="543C2B3F" w:rsidR="00F05396" w:rsidRPr="00F85D78" w:rsidRDefault="00F535A7" w:rsidP="00B2414C">
      <w:pPr>
        <w:pStyle w:val="ListParagraph"/>
        <w:numPr>
          <w:ilvl w:val="1"/>
          <w:numId w:val="16"/>
        </w:numPr>
        <w:spacing w:after="0" w:line="240" w:lineRule="auto"/>
        <w:rPr>
          <w:rFonts w:cstheme="majorHAnsi"/>
          <w:b/>
          <w:bCs/>
          <w:sz w:val="24"/>
          <w:szCs w:val="24"/>
        </w:rPr>
      </w:pPr>
      <w:r w:rsidRPr="00F85D78">
        <w:rPr>
          <w:rFonts w:eastAsia="Times New Roman"/>
          <w:color w:val="000000"/>
          <w:sz w:val="22"/>
          <w:szCs w:val="22"/>
        </w:rPr>
        <w:lastRenderedPageBreak/>
        <w:t>Credi</w:t>
      </w:r>
      <w:r w:rsidR="002C1E8E" w:rsidRPr="00F85D78">
        <w:rPr>
          <w:rFonts w:eastAsia="Times New Roman"/>
          <w:color w:val="000000"/>
          <w:sz w:val="22"/>
          <w:szCs w:val="22"/>
        </w:rPr>
        <w:t>ts may be earned through course</w:t>
      </w:r>
      <w:r w:rsidRPr="00F85D78">
        <w:rPr>
          <w:rFonts w:eastAsia="Times New Roman"/>
          <w:color w:val="000000"/>
          <w:sz w:val="22"/>
          <w:szCs w:val="22"/>
        </w:rPr>
        <w:t xml:space="preserve"> work, conference attendance and other professional activities </w:t>
      </w:r>
      <w:r w:rsidR="00F05396" w:rsidRPr="00F85D78">
        <w:rPr>
          <w:rFonts w:eastAsia="Times New Roman"/>
          <w:color w:val="000000"/>
          <w:sz w:val="22"/>
          <w:szCs w:val="22"/>
        </w:rPr>
        <w:t>as listed in the grid</w:t>
      </w:r>
      <w:r w:rsidRPr="00F85D78">
        <w:rPr>
          <w:rFonts w:eastAsia="Times New Roman"/>
          <w:color w:val="000000"/>
          <w:sz w:val="22"/>
          <w:szCs w:val="22"/>
        </w:rPr>
        <w:t xml:space="preserve"> below.</w:t>
      </w:r>
      <w:r w:rsidR="00F85D78">
        <w:rPr>
          <w:rFonts w:cstheme="majorHAnsi"/>
          <w:b/>
          <w:bCs/>
          <w:sz w:val="24"/>
          <w:szCs w:val="24"/>
        </w:rPr>
        <w:t xml:space="preserve"> </w:t>
      </w:r>
    </w:p>
    <w:tbl>
      <w:tblPr>
        <w:tblStyle w:val="TableGrid"/>
        <w:tblpPr w:leftFromText="180" w:rightFromText="180" w:vertAnchor="text" w:horzAnchor="margin" w:tblpXSpec="center" w:tblpY="119"/>
        <w:tblW w:w="0" w:type="auto"/>
        <w:tblLook w:val="04A0" w:firstRow="1" w:lastRow="0" w:firstColumn="1" w:lastColumn="0" w:noHBand="0" w:noVBand="1"/>
      </w:tblPr>
      <w:tblGrid>
        <w:gridCol w:w="2454"/>
        <w:gridCol w:w="2396"/>
        <w:gridCol w:w="2270"/>
        <w:gridCol w:w="2145"/>
      </w:tblGrid>
      <w:tr w:rsidR="00F05396" w14:paraId="70D410A4" w14:textId="77777777" w:rsidTr="003A21AD">
        <w:trPr>
          <w:trHeight w:val="800"/>
        </w:trPr>
        <w:tc>
          <w:tcPr>
            <w:tcW w:w="2454" w:type="dxa"/>
          </w:tcPr>
          <w:p w14:paraId="50BED9FE" w14:textId="77777777" w:rsidR="00F05396" w:rsidRPr="00EA0DF4" w:rsidRDefault="00F05396" w:rsidP="00AD5910">
            <w:pPr>
              <w:jc w:val="center"/>
              <w:rPr>
                <w:rFonts w:ascii="Arial" w:hAnsi="Arial" w:cs="Arial"/>
                <w:b/>
                <w:bCs/>
                <w:sz w:val="16"/>
                <w:szCs w:val="16"/>
              </w:rPr>
            </w:pPr>
            <w:r w:rsidRPr="00EA0DF4">
              <w:rPr>
                <w:rFonts w:ascii="Arial" w:hAnsi="Arial" w:cs="Arial"/>
                <w:b/>
                <w:bCs/>
                <w:sz w:val="16"/>
                <w:szCs w:val="16"/>
              </w:rPr>
              <w:t>Education Activity  Type</w:t>
            </w:r>
          </w:p>
        </w:tc>
        <w:tc>
          <w:tcPr>
            <w:tcW w:w="2396" w:type="dxa"/>
          </w:tcPr>
          <w:p w14:paraId="44BDD165" w14:textId="77777777" w:rsidR="00F05396" w:rsidRPr="00EA0DF4" w:rsidRDefault="00F05396" w:rsidP="00AD5910">
            <w:pPr>
              <w:jc w:val="center"/>
              <w:rPr>
                <w:rFonts w:ascii="Arial" w:hAnsi="Arial" w:cs="Arial"/>
                <w:b/>
                <w:bCs/>
                <w:sz w:val="16"/>
                <w:szCs w:val="16"/>
              </w:rPr>
            </w:pPr>
            <w:r w:rsidRPr="00EA0DF4">
              <w:rPr>
                <w:rFonts w:ascii="Arial" w:hAnsi="Arial" w:cs="Arial"/>
                <w:b/>
                <w:bCs/>
                <w:sz w:val="16"/>
                <w:szCs w:val="16"/>
              </w:rPr>
              <w:t>Education Description</w:t>
            </w:r>
          </w:p>
        </w:tc>
        <w:tc>
          <w:tcPr>
            <w:tcW w:w="2270" w:type="dxa"/>
          </w:tcPr>
          <w:p w14:paraId="4116EDA7" w14:textId="77777777" w:rsidR="00F05396" w:rsidRPr="00EA0DF4" w:rsidRDefault="00F05396" w:rsidP="00AD5910">
            <w:pPr>
              <w:rPr>
                <w:rFonts w:ascii="Arial" w:hAnsi="Arial" w:cs="Arial"/>
                <w:b/>
                <w:bCs/>
                <w:sz w:val="16"/>
                <w:szCs w:val="16"/>
              </w:rPr>
            </w:pPr>
            <w:r w:rsidRPr="00EA0DF4">
              <w:rPr>
                <w:rFonts w:ascii="Arial" w:hAnsi="Arial" w:cs="Arial"/>
                <w:b/>
                <w:bCs/>
                <w:sz w:val="16"/>
                <w:szCs w:val="16"/>
              </w:rPr>
              <w:t>Maximum Credits eligible to be applied per renewal period</w:t>
            </w:r>
          </w:p>
        </w:tc>
        <w:tc>
          <w:tcPr>
            <w:tcW w:w="2145" w:type="dxa"/>
          </w:tcPr>
          <w:p w14:paraId="27A7F0F8" w14:textId="615C2F37" w:rsidR="00F05396" w:rsidRPr="00EA0DF4" w:rsidRDefault="003A21AD" w:rsidP="00AD5910">
            <w:pPr>
              <w:jc w:val="center"/>
              <w:rPr>
                <w:rFonts w:ascii="Arial" w:hAnsi="Arial" w:cs="Arial"/>
                <w:b/>
                <w:bCs/>
                <w:sz w:val="16"/>
                <w:szCs w:val="16"/>
              </w:rPr>
            </w:pPr>
            <w:r>
              <w:rPr>
                <w:rFonts w:ascii="Arial" w:hAnsi="Arial" w:cs="Arial"/>
                <w:b/>
                <w:bCs/>
                <w:sz w:val="16"/>
                <w:szCs w:val="16"/>
              </w:rPr>
              <w:t>P</w:t>
            </w:r>
            <w:r w:rsidR="00F05396" w:rsidRPr="00EA0DF4">
              <w:rPr>
                <w:rFonts w:ascii="Arial" w:hAnsi="Arial" w:cs="Arial"/>
                <w:b/>
                <w:bCs/>
                <w:sz w:val="16"/>
                <w:szCs w:val="16"/>
              </w:rPr>
              <w:t>roof of completion required for audit</w:t>
            </w:r>
          </w:p>
        </w:tc>
      </w:tr>
      <w:tr w:rsidR="00F05396" w14:paraId="728CC488" w14:textId="77777777" w:rsidTr="003A21AD">
        <w:trPr>
          <w:trHeight w:val="1214"/>
        </w:trPr>
        <w:tc>
          <w:tcPr>
            <w:tcW w:w="2454" w:type="dxa"/>
          </w:tcPr>
          <w:p w14:paraId="128F4669" w14:textId="77777777" w:rsidR="00F05396" w:rsidRPr="00EA0DF4" w:rsidRDefault="00F05396" w:rsidP="00AD5910">
            <w:pPr>
              <w:rPr>
                <w:rFonts w:ascii="Arial" w:hAnsi="Arial" w:cs="Arial"/>
                <w:sz w:val="16"/>
                <w:szCs w:val="16"/>
              </w:rPr>
            </w:pPr>
            <w:r w:rsidRPr="00EA0DF4">
              <w:rPr>
                <w:rFonts w:ascii="Arial" w:hAnsi="Arial" w:cs="Arial"/>
                <w:sz w:val="16"/>
                <w:szCs w:val="16"/>
              </w:rPr>
              <w:t xml:space="preserve">Attendance to CE Event/program </w:t>
            </w:r>
          </w:p>
        </w:tc>
        <w:tc>
          <w:tcPr>
            <w:tcW w:w="2396" w:type="dxa"/>
          </w:tcPr>
          <w:p w14:paraId="1D8CF41A" w14:textId="77777777" w:rsidR="00F05396" w:rsidRPr="00EA0DF4" w:rsidRDefault="00F05396" w:rsidP="00AD5910">
            <w:pPr>
              <w:rPr>
                <w:rFonts w:ascii="Arial" w:hAnsi="Arial" w:cs="Arial"/>
                <w:sz w:val="16"/>
                <w:szCs w:val="16"/>
              </w:rPr>
            </w:pPr>
            <w:r w:rsidRPr="00EA0DF4">
              <w:rPr>
                <w:rFonts w:ascii="Arial" w:hAnsi="Arial" w:cs="Arial"/>
                <w:sz w:val="16"/>
                <w:szCs w:val="16"/>
              </w:rPr>
              <w:t>Attendees must be in attendance at least 50 minutes of a 60-minute webinar/lecture to receive credit for the session</w:t>
            </w:r>
          </w:p>
        </w:tc>
        <w:tc>
          <w:tcPr>
            <w:tcW w:w="2270" w:type="dxa"/>
          </w:tcPr>
          <w:p w14:paraId="437D47A3" w14:textId="38FF6EB2" w:rsidR="00F05396" w:rsidRPr="00EA0DF4" w:rsidRDefault="00F05396" w:rsidP="008A7B75">
            <w:pPr>
              <w:rPr>
                <w:rFonts w:ascii="Arial" w:hAnsi="Arial" w:cs="Arial"/>
                <w:sz w:val="16"/>
                <w:szCs w:val="16"/>
              </w:rPr>
            </w:pPr>
            <w:r w:rsidRPr="00EA0DF4">
              <w:rPr>
                <w:rFonts w:ascii="Arial" w:hAnsi="Arial" w:cs="Arial"/>
                <w:sz w:val="16"/>
                <w:szCs w:val="16"/>
              </w:rPr>
              <w:t xml:space="preserve">45 </w:t>
            </w:r>
            <w:r w:rsidR="008A7B75">
              <w:rPr>
                <w:rFonts w:ascii="Arial" w:hAnsi="Arial" w:cs="Arial"/>
                <w:sz w:val="16"/>
                <w:szCs w:val="16"/>
              </w:rPr>
              <w:t>educational credits</w:t>
            </w:r>
          </w:p>
        </w:tc>
        <w:tc>
          <w:tcPr>
            <w:tcW w:w="2145" w:type="dxa"/>
          </w:tcPr>
          <w:p w14:paraId="383208EA" w14:textId="77777777" w:rsidR="00F05396" w:rsidRPr="00EA0DF4" w:rsidRDefault="00F05396" w:rsidP="00AD5910">
            <w:pPr>
              <w:rPr>
                <w:rFonts w:ascii="Arial" w:hAnsi="Arial" w:cs="Arial"/>
                <w:sz w:val="16"/>
                <w:szCs w:val="16"/>
              </w:rPr>
            </w:pPr>
            <w:r w:rsidRPr="00EA0DF4">
              <w:rPr>
                <w:rFonts w:ascii="Arial" w:hAnsi="Arial" w:cs="Arial"/>
                <w:sz w:val="16"/>
                <w:szCs w:val="16"/>
              </w:rPr>
              <w:t xml:space="preserve">Proof of attendance </w:t>
            </w:r>
          </w:p>
        </w:tc>
      </w:tr>
      <w:tr w:rsidR="00F05396" w14:paraId="3C10E8F9" w14:textId="77777777" w:rsidTr="003A21AD">
        <w:trPr>
          <w:trHeight w:val="1115"/>
        </w:trPr>
        <w:tc>
          <w:tcPr>
            <w:tcW w:w="2454" w:type="dxa"/>
          </w:tcPr>
          <w:p w14:paraId="1D5C9935" w14:textId="37F61AD7" w:rsidR="00F05396" w:rsidRPr="00EA0DF4" w:rsidRDefault="00F05396" w:rsidP="003A21AD">
            <w:pPr>
              <w:rPr>
                <w:rFonts w:ascii="Arial" w:hAnsi="Arial" w:cs="Arial"/>
                <w:sz w:val="16"/>
                <w:szCs w:val="16"/>
              </w:rPr>
            </w:pPr>
            <w:r w:rsidRPr="00EA0DF4">
              <w:rPr>
                <w:rFonts w:ascii="Arial" w:hAnsi="Arial" w:cs="Arial"/>
                <w:sz w:val="16"/>
                <w:szCs w:val="16"/>
              </w:rPr>
              <w:t>Educational Program/</w:t>
            </w:r>
            <w:r w:rsidRPr="00EA0DF4">
              <w:rPr>
                <w:rFonts w:ascii="Arial" w:hAnsi="Arial" w:cs="Arial"/>
                <w:sz w:val="16"/>
                <w:szCs w:val="16"/>
              </w:rPr>
              <w:br/>
              <w:t>Professional Presentation/</w:t>
            </w:r>
            <w:r w:rsidRPr="00EA0DF4">
              <w:rPr>
                <w:rFonts w:ascii="Arial" w:hAnsi="Arial" w:cs="Arial"/>
                <w:sz w:val="16"/>
                <w:szCs w:val="16"/>
              </w:rPr>
              <w:br/>
              <w:t>Podcast</w:t>
            </w:r>
            <w:r w:rsidRPr="00EA0DF4">
              <w:rPr>
                <w:rFonts w:ascii="Arial" w:hAnsi="Arial" w:cs="Arial"/>
                <w:sz w:val="16"/>
                <w:szCs w:val="16"/>
              </w:rPr>
              <w:br/>
            </w:r>
          </w:p>
        </w:tc>
        <w:tc>
          <w:tcPr>
            <w:tcW w:w="2396" w:type="dxa"/>
          </w:tcPr>
          <w:p w14:paraId="046E4D37" w14:textId="77777777" w:rsidR="00F05396" w:rsidRPr="00EA0DF4" w:rsidRDefault="00F05396" w:rsidP="00AD5910">
            <w:pPr>
              <w:rPr>
                <w:rFonts w:ascii="Arial" w:hAnsi="Arial" w:cs="Arial"/>
                <w:sz w:val="16"/>
                <w:szCs w:val="16"/>
              </w:rPr>
            </w:pPr>
            <w:r w:rsidRPr="00EA0DF4">
              <w:rPr>
                <w:rFonts w:ascii="Arial" w:hAnsi="Arial" w:cs="Arial"/>
                <w:sz w:val="16"/>
                <w:szCs w:val="16"/>
              </w:rPr>
              <w:t>Preparation and presentation of an educational session will recognize 10 hours of educational credit for each one-hour presentation</w:t>
            </w:r>
          </w:p>
        </w:tc>
        <w:tc>
          <w:tcPr>
            <w:tcW w:w="2270" w:type="dxa"/>
          </w:tcPr>
          <w:p w14:paraId="1694EAFC" w14:textId="77777777" w:rsidR="00F05396" w:rsidRPr="00EA0DF4" w:rsidRDefault="00F05396" w:rsidP="00AD5910">
            <w:pPr>
              <w:rPr>
                <w:rFonts w:ascii="Arial" w:hAnsi="Arial" w:cs="Arial"/>
                <w:sz w:val="16"/>
                <w:szCs w:val="16"/>
              </w:rPr>
            </w:pPr>
            <w:r w:rsidRPr="00EA0DF4">
              <w:rPr>
                <w:rFonts w:ascii="Arial" w:hAnsi="Arial" w:cs="Arial"/>
                <w:sz w:val="16"/>
                <w:szCs w:val="16"/>
              </w:rPr>
              <w:t>No more than 20 educational credits</w:t>
            </w:r>
          </w:p>
        </w:tc>
        <w:tc>
          <w:tcPr>
            <w:tcW w:w="2145" w:type="dxa"/>
          </w:tcPr>
          <w:p w14:paraId="6A077B45" w14:textId="77777777" w:rsidR="00F05396" w:rsidRPr="00EA0DF4" w:rsidRDefault="00F05396" w:rsidP="00AD5910">
            <w:pPr>
              <w:rPr>
                <w:rFonts w:ascii="Arial" w:hAnsi="Arial" w:cs="Arial"/>
                <w:sz w:val="16"/>
                <w:szCs w:val="16"/>
              </w:rPr>
            </w:pPr>
            <w:r w:rsidRPr="00EA0DF4">
              <w:rPr>
                <w:rFonts w:ascii="Arial" w:hAnsi="Arial" w:cs="Arial"/>
                <w:sz w:val="16"/>
                <w:szCs w:val="16"/>
              </w:rPr>
              <w:t>Submit date, time, location and title of presentation and presenter names</w:t>
            </w:r>
          </w:p>
        </w:tc>
      </w:tr>
      <w:tr w:rsidR="00F05396" w14:paraId="09FC1240" w14:textId="77777777" w:rsidTr="003A21AD">
        <w:trPr>
          <w:trHeight w:val="845"/>
        </w:trPr>
        <w:tc>
          <w:tcPr>
            <w:tcW w:w="2454" w:type="dxa"/>
          </w:tcPr>
          <w:p w14:paraId="6FC6694D" w14:textId="2AB1F769" w:rsidR="00F05396" w:rsidRPr="00EA0DF4" w:rsidRDefault="00F05396" w:rsidP="008A7B75">
            <w:pPr>
              <w:rPr>
                <w:rFonts w:ascii="Arial" w:hAnsi="Arial" w:cs="Arial"/>
                <w:sz w:val="16"/>
                <w:szCs w:val="16"/>
              </w:rPr>
            </w:pPr>
            <w:r w:rsidRPr="00EA0DF4">
              <w:rPr>
                <w:rFonts w:ascii="Arial" w:hAnsi="Arial" w:cs="Arial"/>
                <w:sz w:val="16"/>
                <w:szCs w:val="16"/>
              </w:rPr>
              <w:t>Authoring/Publishing</w:t>
            </w:r>
            <w:r w:rsidRPr="00EA0DF4">
              <w:rPr>
                <w:rFonts w:ascii="Arial" w:hAnsi="Arial" w:cs="Arial"/>
                <w:sz w:val="16"/>
                <w:szCs w:val="16"/>
              </w:rPr>
              <w:br/>
            </w:r>
          </w:p>
        </w:tc>
        <w:tc>
          <w:tcPr>
            <w:tcW w:w="2396" w:type="dxa"/>
          </w:tcPr>
          <w:p w14:paraId="29C2AECD" w14:textId="77777777" w:rsidR="00F05396" w:rsidRPr="00EA0DF4" w:rsidRDefault="00F05396" w:rsidP="00AD5910">
            <w:pPr>
              <w:rPr>
                <w:rFonts w:ascii="Arial" w:hAnsi="Arial" w:cs="Arial"/>
                <w:sz w:val="16"/>
                <w:szCs w:val="16"/>
              </w:rPr>
            </w:pPr>
            <w:r w:rsidRPr="00EA0DF4">
              <w:rPr>
                <w:rFonts w:ascii="Arial" w:hAnsi="Arial" w:cs="Arial"/>
                <w:sz w:val="16"/>
                <w:szCs w:val="16"/>
              </w:rPr>
              <w:t xml:space="preserve">Professional publication to include state and national organization publications </w:t>
            </w:r>
          </w:p>
        </w:tc>
        <w:tc>
          <w:tcPr>
            <w:tcW w:w="2270" w:type="dxa"/>
          </w:tcPr>
          <w:p w14:paraId="2CB8C3D1" w14:textId="77777777" w:rsidR="00F05396" w:rsidRPr="00EA0DF4" w:rsidRDefault="00F05396" w:rsidP="00AD5910">
            <w:pPr>
              <w:rPr>
                <w:rFonts w:ascii="Arial" w:hAnsi="Arial" w:cs="Arial"/>
                <w:sz w:val="16"/>
                <w:szCs w:val="16"/>
              </w:rPr>
            </w:pPr>
            <w:r w:rsidRPr="00EA0DF4">
              <w:rPr>
                <w:rFonts w:ascii="Arial" w:hAnsi="Arial" w:cs="Arial"/>
                <w:sz w:val="16"/>
                <w:szCs w:val="16"/>
              </w:rPr>
              <w:t xml:space="preserve">5 educational credits for each article with maximum of 15 educational credits </w:t>
            </w:r>
          </w:p>
        </w:tc>
        <w:tc>
          <w:tcPr>
            <w:tcW w:w="2145" w:type="dxa"/>
          </w:tcPr>
          <w:p w14:paraId="473CFE7E" w14:textId="30F8DE4E" w:rsidR="00F05396" w:rsidRPr="00EA0DF4" w:rsidRDefault="003A21AD" w:rsidP="00AD5910">
            <w:pPr>
              <w:rPr>
                <w:rFonts w:ascii="Arial" w:hAnsi="Arial" w:cs="Arial"/>
                <w:sz w:val="16"/>
                <w:szCs w:val="16"/>
              </w:rPr>
            </w:pPr>
            <w:r>
              <w:rPr>
                <w:rFonts w:ascii="Arial" w:hAnsi="Arial" w:cs="Arial"/>
                <w:sz w:val="16"/>
                <w:szCs w:val="16"/>
              </w:rPr>
              <w:t>A</w:t>
            </w:r>
            <w:r w:rsidR="00F05396" w:rsidRPr="00EA0DF4">
              <w:rPr>
                <w:rFonts w:ascii="Arial" w:hAnsi="Arial" w:cs="Arial"/>
                <w:sz w:val="16"/>
                <w:szCs w:val="16"/>
              </w:rPr>
              <w:t>n e-link to the article or include a copy of the article.</w:t>
            </w:r>
          </w:p>
        </w:tc>
      </w:tr>
      <w:tr w:rsidR="00F05396" w14:paraId="21AD6D81" w14:textId="77777777" w:rsidTr="008A7B75">
        <w:trPr>
          <w:trHeight w:val="1959"/>
        </w:trPr>
        <w:tc>
          <w:tcPr>
            <w:tcW w:w="2454" w:type="dxa"/>
          </w:tcPr>
          <w:p w14:paraId="2654D900" w14:textId="50C1DADC" w:rsidR="00F05396" w:rsidRPr="00EA0DF4" w:rsidRDefault="00F05396" w:rsidP="003A21AD">
            <w:pPr>
              <w:rPr>
                <w:rFonts w:ascii="Arial" w:hAnsi="Arial" w:cs="Arial"/>
                <w:sz w:val="16"/>
                <w:szCs w:val="16"/>
              </w:rPr>
            </w:pPr>
            <w:r w:rsidRPr="00EA0DF4">
              <w:rPr>
                <w:rFonts w:ascii="Arial" w:hAnsi="Arial" w:cs="Arial"/>
                <w:sz w:val="16"/>
                <w:szCs w:val="16"/>
              </w:rPr>
              <w:t>Academic Coursework</w:t>
            </w:r>
            <w:r w:rsidRPr="00EA0DF4">
              <w:rPr>
                <w:rFonts w:ascii="Arial" w:hAnsi="Arial" w:cs="Arial"/>
                <w:sz w:val="16"/>
                <w:szCs w:val="16"/>
              </w:rPr>
              <w:br/>
            </w:r>
          </w:p>
        </w:tc>
        <w:tc>
          <w:tcPr>
            <w:tcW w:w="2396" w:type="dxa"/>
          </w:tcPr>
          <w:p w14:paraId="41000282" w14:textId="2497C3EB" w:rsidR="008A7B75" w:rsidRPr="008A7B75" w:rsidRDefault="006333C6" w:rsidP="008A7B75">
            <w:pPr>
              <w:rPr>
                <w:rFonts w:ascii="Arial" w:hAnsi="Arial" w:cs="Arial"/>
                <w:sz w:val="16"/>
                <w:szCs w:val="16"/>
              </w:rPr>
            </w:pPr>
            <w:r>
              <w:rPr>
                <w:rFonts w:ascii="Arial" w:hAnsi="Arial" w:cs="Arial"/>
                <w:sz w:val="16"/>
                <w:szCs w:val="16"/>
              </w:rPr>
              <w:t>Attendance at an</w:t>
            </w:r>
            <w:r w:rsidR="00F05396" w:rsidRPr="00EA0DF4">
              <w:rPr>
                <w:rFonts w:ascii="Arial" w:hAnsi="Arial" w:cs="Arial"/>
                <w:sz w:val="16"/>
                <w:szCs w:val="16"/>
              </w:rPr>
              <w:t xml:space="preserve"> accredited college or university</w:t>
            </w:r>
            <w:r w:rsidR="003A21AD">
              <w:rPr>
                <w:rFonts w:ascii="Arial" w:hAnsi="Arial" w:cs="Arial"/>
                <w:sz w:val="16"/>
                <w:szCs w:val="16"/>
              </w:rPr>
              <w:t xml:space="preserve"> </w:t>
            </w:r>
            <w:r w:rsidR="008A7B75">
              <w:rPr>
                <w:rFonts w:ascii="Arial" w:hAnsi="Arial" w:cs="Arial"/>
                <w:sz w:val="16"/>
                <w:szCs w:val="16"/>
              </w:rPr>
              <w:br/>
            </w:r>
            <w:r w:rsidR="003A21AD" w:rsidRPr="008A7B75">
              <w:rPr>
                <w:rFonts w:ascii="Arial" w:hAnsi="Arial" w:cs="Arial"/>
                <w:sz w:val="16"/>
                <w:szCs w:val="16"/>
              </w:rPr>
              <w:t>Includes in-person and online</w:t>
            </w:r>
            <w:r w:rsidR="008A7B75" w:rsidRPr="008A7B75">
              <w:rPr>
                <w:sz w:val="16"/>
                <w:szCs w:val="16"/>
              </w:rPr>
              <w:t xml:space="preserve"> </w:t>
            </w:r>
          </w:p>
          <w:p w14:paraId="73545702" w14:textId="386CFE48" w:rsidR="008A7B75" w:rsidRPr="00EA0DF4" w:rsidRDefault="008A7B75" w:rsidP="008A7B75">
            <w:pPr>
              <w:pStyle w:val="ListParagraph"/>
              <w:numPr>
                <w:ilvl w:val="0"/>
                <w:numId w:val="20"/>
              </w:numPr>
              <w:spacing w:after="0" w:line="240" w:lineRule="auto"/>
              <w:rPr>
                <w:rFonts w:ascii="Arial" w:hAnsi="Arial" w:cs="Arial"/>
                <w:sz w:val="16"/>
                <w:szCs w:val="16"/>
              </w:rPr>
            </w:pPr>
            <w:r w:rsidRPr="00EA0DF4">
              <w:rPr>
                <w:rFonts w:ascii="Arial" w:hAnsi="Arial" w:cs="Arial"/>
                <w:sz w:val="16"/>
                <w:szCs w:val="16"/>
              </w:rPr>
              <w:t>One (1) semester credit = 15 contact hours</w:t>
            </w:r>
            <w:r>
              <w:rPr>
                <w:rFonts w:ascii="Arial" w:hAnsi="Arial" w:cs="Arial"/>
                <w:sz w:val="16"/>
                <w:szCs w:val="16"/>
              </w:rPr>
              <w:br/>
            </w:r>
          </w:p>
          <w:p w14:paraId="6B3CC4A8" w14:textId="44CE675A" w:rsidR="00F05396" w:rsidRPr="008A7B75" w:rsidRDefault="008A7B75" w:rsidP="008A7B75">
            <w:pPr>
              <w:pStyle w:val="ListParagraph"/>
              <w:numPr>
                <w:ilvl w:val="0"/>
                <w:numId w:val="20"/>
              </w:numPr>
              <w:spacing w:after="0" w:line="240" w:lineRule="auto"/>
              <w:rPr>
                <w:rFonts w:ascii="Arial" w:hAnsi="Arial" w:cs="Arial"/>
                <w:sz w:val="16"/>
                <w:szCs w:val="16"/>
              </w:rPr>
            </w:pPr>
            <w:r w:rsidRPr="00EA0DF4">
              <w:rPr>
                <w:rFonts w:ascii="Arial" w:hAnsi="Arial" w:cs="Arial"/>
                <w:sz w:val="16"/>
                <w:szCs w:val="16"/>
              </w:rPr>
              <w:t>One (1) quarter credit = 10 contact hours</w:t>
            </w:r>
          </w:p>
        </w:tc>
        <w:tc>
          <w:tcPr>
            <w:tcW w:w="2270" w:type="dxa"/>
          </w:tcPr>
          <w:p w14:paraId="697A211A" w14:textId="15C5F474" w:rsidR="00F05396" w:rsidRPr="008A7B75" w:rsidRDefault="008A7B75" w:rsidP="008A7B75">
            <w:pPr>
              <w:spacing w:after="0" w:line="240" w:lineRule="auto"/>
              <w:rPr>
                <w:rFonts w:ascii="Arial" w:hAnsi="Arial" w:cs="Arial"/>
                <w:sz w:val="16"/>
                <w:szCs w:val="16"/>
              </w:rPr>
            </w:pPr>
            <w:r w:rsidRPr="008A7B75">
              <w:rPr>
                <w:rFonts w:ascii="Arial" w:hAnsi="Arial" w:cs="Arial"/>
                <w:sz w:val="16"/>
                <w:szCs w:val="16"/>
              </w:rPr>
              <w:t>15</w:t>
            </w:r>
            <w:r>
              <w:rPr>
                <w:rFonts w:ascii="Arial" w:hAnsi="Arial" w:cs="Arial"/>
                <w:sz w:val="16"/>
                <w:szCs w:val="16"/>
              </w:rPr>
              <w:t xml:space="preserve"> educational credits</w:t>
            </w:r>
            <w:r w:rsidRPr="008A7B75">
              <w:rPr>
                <w:rFonts w:ascii="Arial" w:hAnsi="Arial" w:cs="Arial"/>
                <w:sz w:val="16"/>
                <w:szCs w:val="16"/>
              </w:rPr>
              <w:t xml:space="preserve"> </w:t>
            </w:r>
          </w:p>
        </w:tc>
        <w:tc>
          <w:tcPr>
            <w:tcW w:w="2145" w:type="dxa"/>
          </w:tcPr>
          <w:p w14:paraId="0ADB7F40" w14:textId="5B26CECE" w:rsidR="00F05396" w:rsidRPr="00EA0DF4" w:rsidRDefault="00F05396" w:rsidP="003A21AD">
            <w:pPr>
              <w:rPr>
                <w:rFonts w:ascii="Arial" w:hAnsi="Arial" w:cs="Arial"/>
                <w:sz w:val="16"/>
                <w:szCs w:val="16"/>
              </w:rPr>
            </w:pPr>
            <w:r w:rsidRPr="00EA0DF4">
              <w:rPr>
                <w:rFonts w:ascii="Arial" w:hAnsi="Arial" w:cs="Arial"/>
                <w:sz w:val="16"/>
                <w:szCs w:val="16"/>
              </w:rPr>
              <w:t>Grade report or</w:t>
            </w:r>
            <w:r w:rsidR="003A21AD">
              <w:rPr>
                <w:rFonts w:ascii="Arial" w:hAnsi="Arial" w:cs="Arial"/>
                <w:sz w:val="16"/>
                <w:szCs w:val="16"/>
              </w:rPr>
              <w:t xml:space="preserve"> </w:t>
            </w:r>
            <w:r w:rsidRPr="00EA0DF4">
              <w:rPr>
                <w:rFonts w:ascii="Arial" w:hAnsi="Arial" w:cs="Arial"/>
                <w:sz w:val="16"/>
                <w:szCs w:val="16"/>
              </w:rPr>
              <w:t xml:space="preserve">copy of transcript </w:t>
            </w:r>
          </w:p>
        </w:tc>
      </w:tr>
      <w:tr w:rsidR="00F05396" w14:paraId="67D78CE4" w14:textId="77777777" w:rsidTr="003A21AD">
        <w:trPr>
          <w:trHeight w:val="1862"/>
        </w:trPr>
        <w:tc>
          <w:tcPr>
            <w:tcW w:w="2454" w:type="dxa"/>
          </w:tcPr>
          <w:p w14:paraId="154EAAA2" w14:textId="49B304F3" w:rsidR="00F05396" w:rsidRPr="00EA0DF4" w:rsidRDefault="00F05396" w:rsidP="00AD5910">
            <w:pPr>
              <w:rPr>
                <w:rFonts w:ascii="Arial" w:hAnsi="Arial" w:cs="Arial"/>
                <w:sz w:val="16"/>
                <w:szCs w:val="16"/>
              </w:rPr>
            </w:pPr>
            <w:r w:rsidRPr="00EA0DF4">
              <w:rPr>
                <w:rFonts w:ascii="Arial" w:hAnsi="Arial" w:cs="Arial"/>
                <w:sz w:val="16"/>
                <w:szCs w:val="16"/>
              </w:rPr>
              <w:t>Self-study program</w:t>
            </w:r>
          </w:p>
          <w:p w14:paraId="05F4C83F" w14:textId="77777777" w:rsidR="00F05396" w:rsidRPr="00EA0DF4" w:rsidRDefault="00F05396" w:rsidP="00AD5910">
            <w:pPr>
              <w:rPr>
                <w:rFonts w:ascii="Arial" w:hAnsi="Arial" w:cs="Arial"/>
                <w:sz w:val="16"/>
                <w:szCs w:val="16"/>
              </w:rPr>
            </w:pPr>
          </w:p>
        </w:tc>
        <w:tc>
          <w:tcPr>
            <w:tcW w:w="2396" w:type="dxa"/>
          </w:tcPr>
          <w:p w14:paraId="1AB2BFA1" w14:textId="77777777" w:rsidR="00F05396" w:rsidRPr="00EA0DF4" w:rsidRDefault="00F05396" w:rsidP="00AD5910">
            <w:pPr>
              <w:rPr>
                <w:rFonts w:ascii="Arial" w:hAnsi="Arial" w:cs="Arial"/>
                <w:sz w:val="16"/>
                <w:szCs w:val="16"/>
              </w:rPr>
            </w:pPr>
            <w:r w:rsidRPr="00EA0DF4">
              <w:rPr>
                <w:rFonts w:ascii="Arial" w:hAnsi="Arial" w:cs="Arial"/>
                <w:sz w:val="16"/>
                <w:szCs w:val="16"/>
              </w:rPr>
              <w:t xml:space="preserve">Program provided by a professional healthcare Association.  Provider must award contact hours </w:t>
            </w:r>
          </w:p>
          <w:p w14:paraId="566E3371" w14:textId="77777777" w:rsidR="00F05396" w:rsidRPr="00EA0DF4" w:rsidRDefault="00F05396" w:rsidP="00F05396">
            <w:pPr>
              <w:pStyle w:val="ListParagraph"/>
              <w:numPr>
                <w:ilvl w:val="0"/>
                <w:numId w:val="21"/>
              </w:numPr>
              <w:rPr>
                <w:rFonts w:ascii="Arial" w:hAnsi="Arial" w:cs="Arial"/>
                <w:sz w:val="16"/>
                <w:szCs w:val="16"/>
              </w:rPr>
            </w:pPr>
            <w:r w:rsidRPr="00EA0DF4">
              <w:rPr>
                <w:rFonts w:ascii="Arial" w:hAnsi="Arial" w:cs="Arial"/>
                <w:sz w:val="16"/>
                <w:szCs w:val="16"/>
              </w:rPr>
              <w:t>Includes audio conferences and online education</w:t>
            </w:r>
          </w:p>
        </w:tc>
        <w:tc>
          <w:tcPr>
            <w:tcW w:w="2270" w:type="dxa"/>
          </w:tcPr>
          <w:p w14:paraId="3CCFD649" w14:textId="6C9DB08D" w:rsidR="00F05396" w:rsidRDefault="00F05396" w:rsidP="00AD5910">
            <w:pPr>
              <w:rPr>
                <w:rFonts w:ascii="Arial" w:hAnsi="Arial" w:cs="Arial"/>
                <w:sz w:val="16"/>
                <w:szCs w:val="16"/>
              </w:rPr>
            </w:pPr>
            <w:r w:rsidRPr="00EA0DF4">
              <w:rPr>
                <w:rFonts w:ascii="Arial" w:hAnsi="Arial" w:cs="Arial"/>
                <w:sz w:val="16"/>
                <w:szCs w:val="16"/>
              </w:rPr>
              <w:t xml:space="preserve">9 </w:t>
            </w:r>
            <w:r w:rsidR="000C1521">
              <w:rPr>
                <w:rFonts w:ascii="Arial" w:hAnsi="Arial" w:cs="Arial"/>
                <w:sz w:val="16"/>
                <w:szCs w:val="16"/>
              </w:rPr>
              <w:t>educational credits</w:t>
            </w:r>
          </w:p>
          <w:p w14:paraId="5CB8597B" w14:textId="4ADD9C38" w:rsidR="008A7B75" w:rsidRPr="00EA0DF4" w:rsidRDefault="008A7B75" w:rsidP="008A7B75">
            <w:pPr>
              <w:rPr>
                <w:rFonts w:ascii="Arial" w:hAnsi="Arial" w:cs="Arial"/>
                <w:sz w:val="16"/>
                <w:szCs w:val="16"/>
              </w:rPr>
            </w:pPr>
            <w:r>
              <w:rPr>
                <w:rFonts w:ascii="Arial" w:hAnsi="Arial" w:cs="Arial"/>
                <w:sz w:val="16"/>
                <w:szCs w:val="16"/>
              </w:rPr>
              <w:t xml:space="preserve">1 contact hour = </w:t>
            </w:r>
            <w:r>
              <w:rPr>
                <w:rFonts w:ascii="Arial" w:hAnsi="Arial" w:cs="Arial"/>
                <w:sz w:val="16"/>
                <w:szCs w:val="16"/>
              </w:rPr>
              <w:br/>
              <w:t>1 educational credit</w:t>
            </w:r>
          </w:p>
        </w:tc>
        <w:tc>
          <w:tcPr>
            <w:tcW w:w="2145" w:type="dxa"/>
          </w:tcPr>
          <w:p w14:paraId="274D9EF3" w14:textId="77777777" w:rsidR="00F05396" w:rsidRPr="00EA0DF4" w:rsidRDefault="00F05396" w:rsidP="00AD5910">
            <w:pPr>
              <w:rPr>
                <w:rFonts w:ascii="Arial" w:hAnsi="Arial" w:cs="Arial"/>
                <w:sz w:val="16"/>
                <w:szCs w:val="16"/>
              </w:rPr>
            </w:pPr>
            <w:r w:rsidRPr="00EA0DF4">
              <w:rPr>
                <w:rFonts w:ascii="Arial" w:hAnsi="Arial" w:cs="Arial"/>
                <w:sz w:val="16"/>
                <w:szCs w:val="16"/>
              </w:rPr>
              <w:t>Certificate of completion with contact hours earned</w:t>
            </w:r>
          </w:p>
        </w:tc>
      </w:tr>
      <w:tr w:rsidR="00F05396" w14:paraId="5D855DBF" w14:textId="77777777" w:rsidTr="003A21AD">
        <w:trPr>
          <w:trHeight w:val="1214"/>
        </w:trPr>
        <w:tc>
          <w:tcPr>
            <w:tcW w:w="2454" w:type="dxa"/>
          </w:tcPr>
          <w:p w14:paraId="53450502" w14:textId="77777777" w:rsidR="00F05396" w:rsidRPr="00EA0DF4" w:rsidRDefault="00F05396" w:rsidP="00AD5910">
            <w:pPr>
              <w:rPr>
                <w:rFonts w:ascii="Arial" w:hAnsi="Arial" w:cs="Arial"/>
                <w:sz w:val="16"/>
                <w:szCs w:val="16"/>
              </w:rPr>
            </w:pPr>
            <w:r w:rsidRPr="00EA0DF4">
              <w:rPr>
                <w:rFonts w:ascii="Arial" w:hAnsi="Arial" w:cs="Arial"/>
                <w:sz w:val="16"/>
                <w:szCs w:val="16"/>
              </w:rPr>
              <w:t>Poster Presentation (national meeting)</w:t>
            </w:r>
          </w:p>
        </w:tc>
        <w:tc>
          <w:tcPr>
            <w:tcW w:w="2396" w:type="dxa"/>
          </w:tcPr>
          <w:p w14:paraId="19DDF313" w14:textId="77777777" w:rsidR="00F05396" w:rsidRPr="00EA0DF4" w:rsidRDefault="00F05396" w:rsidP="00AD5910">
            <w:pPr>
              <w:rPr>
                <w:rFonts w:ascii="Arial" w:hAnsi="Arial" w:cs="Arial"/>
                <w:sz w:val="16"/>
                <w:szCs w:val="16"/>
              </w:rPr>
            </w:pPr>
            <w:r w:rsidRPr="00EA0DF4">
              <w:rPr>
                <w:rFonts w:ascii="Arial" w:hAnsi="Arial" w:cs="Arial"/>
                <w:sz w:val="16"/>
                <w:szCs w:val="16"/>
              </w:rPr>
              <w:t>Subject: value analysis</w:t>
            </w:r>
          </w:p>
        </w:tc>
        <w:tc>
          <w:tcPr>
            <w:tcW w:w="2270" w:type="dxa"/>
          </w:tcPr>
          <w:p w14:paraId="72C2CF1B" w14:textId="6CEFB853" w:rsidR="00F05396" w:rsidRPr="00EA0DF4" w:rsidRDefault="00F05396" w:rsidP="00AD5910">
            <w:pPr>
              <w:rPr>
                <w:rFonts w:ascii="Arial" w:hAnsi="Arial" w:cs="Arial"/>
                <w:sz w:val="16"/>
                <w:szCs w:val="16"/>
              </w:rPr>
            </w:pPr>
            <w:r w:rsidRPr="00EA0DF4">
              <w:rPr>
                <w:rFonts w:ascii="Arial" w:hAnsi="Arial" w:cs="Arial"/>
                <w:sz w:val="16"/>
                <w:szCs w:val="16"/>
              </w:rPr>
              <w:t xml:space="preserve">6 </w:t>
            </w:r>
            <w:r w:rsidR="000C1521">
              <w:rPr>
                <w:rFonts w:ascii="Arial" w:hAnsi="Arial" w:cs="Arial"/>
                <w:sz w:val="16"/>
                <w:szCs w:val="16"/>
              </w:rPr>
              <w:t>educational credits</w:t>
            </w:r>
            <w:r w:rsidRPr="00EA0DF4">
              <w:rPr>
                <w:rFonts w:ascii="Arial" w:hAnsi="Arial" w:cs="Arial"/>
                <w:sz w:val="16"/>
                <w:szCs w:val="16"/>
              </w:rPr>
              <w:t xml:space="preserve"> </w:t>
            </w:r>
          </w:p>
          <w:p w14:paraId="36902948" w14:textId="77777777" w:rsidR="00F05396" w:rsidRPr="00EA0DF4" w:rsidRDefault="00F05396" w:rsidP="00AD5910">
            <w:pPr>
              <w:rPr>
                <w:rFonts w:ascii="Arial" w:hAnsi="Arial" w:cs="Arial"/>
                <w:sz w:val="16"/>
                <w:szCs w:val="16"/>
              </w:rPr>
            </w:pPr>
            <w:r w:rsidRPr="00EA0DF4">
              <w:rPr>
                <w:rFonts w:ascii="Arial" w:hAnsi="Arial" w:cs="Arial"/>
                <w:sz w:val="16"/>
                <w:szCs w:val="16"/>
              </w:rPr>
              <w:t>3 different posters</w:t>
            </w:r>
          </w:p>
          <w:p w14:paraId="538C8D57" w14:textId="6D92A4AE" w:rsidR="00F05396" w:rsidRPr="00EA0DF4" w:rsidRDefault="00F05396" w:rsidP="000C1521">
            <w:pPr>
              <w:rPr>
                <w:rFonts w:ascii="Arial" w:hAnsi="Arial" w:cs="Arial"/>
                <w:sz w:val="16"/>
                <w:szCs w:val="16"/>
              </w:rPr>
            </w:pPr>
            <w:r w:rsidRPr="00EA0DF4">
              <w:rPr>
                <w:rFonts w:ascii="Arial" w:hAnsi="Arial" w:cs="Arial"/>
                <w:sz w:val="16"/>
                <w:szCs w:val="16"/>
              </w:rPr>
              <w:t xml:space="preserve">2 </w:t>
            </w:r>
            <w:r w:rsidR="000C1521">
              <w:rPr>
                <w:rFonts w:ascii="Arial" w:hAnsi="Arial" w:cs="Arial"/>
                <w:sz w:val="16"/>
                <w:szCs w:val="16"/>
              </w:rPr>
              <w:t>educational credits</w:t>
            </w:r>
            <w:r w:rsidRPr="00EA0DF4">
              <w:rPr>
                <w:rFonts w:ascii="Arial" w:hAnsi="Arial" w:cs="Arial"/>
                <w:sz w:val="16"/>
                <w:szCs w:val="16"/>
              </w:rPr>
              <w:t xml:space="preserve"> each</w:t>
            </w:r>
          </w:p>
        </w:tc>
        <w:tc>
          <w:tcPr>
            <w:tcW w:w="2145" w:type="dxa"/>
          </w:tcPr>
          <w:p w14:paraId="521728CF" w14:textId="77777777" w:rsidR="00F05396" w:rsidRPr="00EA0DF4" w:rsidRDefault="00F05396" w:rsidP="00AD5910">
            <w:pPr>
              <w:rPr>
                <w:rFonts w:ascii="Arial" w:hAnsi="Arial" w:cs="Arial"/>
                <w:sz w:val="16"/>
                <w:szCs w:val="16"/>
              </w:rPr>
            </w:pPr>
            <w:r w:rsidRPr="00EA0DF4">
              <w:rPr>
                <w:rFonts w:ascii="Arial" w:hAnsi="Arial" w:cs="Arial"/>
                <w:sz w:val="16"/>
                <w:szCs w:val="16"/>
              </w:rPr>
              <w:t>Electronic copy of poster</w:t>
            </w:r>
          </w:p>
        </w:tc>
      </w:tr>
      <w:tr w:rsidR="00F05396" w14:paraId="13B72513" w14:textId="77777777" w:rsidTr="003A21AD">
        <w:trPr>
          <w:trHeight w:val="962"/>
        </w:trPr>
        <w:tc>
          <w:tcPr>
            <w:tcW w:w="2454" w:type="dxa"/>
          </w:tcPr>
          <w:p w14:paraId="606A4C57" w14:textId="77777777" w:rsidR="00F05396" w:rsidRPr="00EA0DF4" w:rsidRDefault="00F05396" w:rsidP="00AD5910">
            <w:pPr>
              <w:rPr>
                <w:rFonts w:ascii="Arial" w:hAnsi="Arial" w:cs="Arial"/>
                <w:sz w:val="16"/>
                <w:szCs w:val="16"/>
              </w:rPr>
            </w:pPr>
            <w:r w:rsidRPr="00EA0DF4">
              <w:rPr>
                <w:rFonts w:ascii="Arial" w:hAnsi="Arial" w:cs="Arial"/>
                <w:sz w:val="16"/>
                <w:szCs w:val="16"/>
              </w:rPr>
              <w:t xml:space="preserve">Blog or other Social Media contributions </w:t>
            </w:r>
          </w:p>
        </w:tc>
        <w:tc>
          <w:tcPr>
            <w:tcW w:w="2396" w:type="dxa"/>
          </w:tcPr>
          <w:p w14:paraId="68FF8B48" w14:textId="77777777" w:rsidR="00F05396" w:rsidRPr="00EA0DF4" w:rsidRDefault="00F05396" w:rsidP="00AD5910">
            <w:pPr>
              <w:rPr>
                <w:rFonts w:ascii="Arial" w:hAnsi="Arial" w:cs="Arial"/>
                <w:sz w:val="16"/>
                <w:szCs w:val="16"/>
              </w:rPr>
            </w:pPr>
            <w:r w:rsidRPr="00EA0DF4">
              <w:rPr>
                <w:rFonts w:ascii="Arial" w:hAnsi="Arial" w:cs="Arial"/>
                <w:sz w:val="16"/>
                <w:szCs w:val="16"/>
              </w:rPr>
              <w:t xml:space="preserve">Research and evidenced based information related to value analysis.  Opinion pieces </w:t>
            </w:r>
          </w:p>
        </w:tc>
        <w:tc>
          <w:tcPr>
            <w:tcW w:w="2270" w:type="dxa"/>
          </w:tcPr>
          <w:p w14:paraId="2E8F35A7" w14:textId="77777777" w:rsidR="00F05396" w:rsidRPr="00EA0DF4" w:rsidRDefault="00F05396" w:rsidP="00AD5910">
            <w:pPr>
              <w:rPr>
                <w:rFonts w:ascii="Arial" w:hAnsi="Arial" w:cs="Arial"/>
                <w:sz w:val="16"/>
                <w:szCs w:val="16"/>
              </w:rPr>
            </w:pPr>
            <w:r w:rsidRPr="00EA0DF4">
              <w:rPr>
                <w:rFonts w:ascii="Arial" w:hAnsi="Arial" w:cs="Arial"/>
                <w:sz w:val="16"/>
                <w:szCs w:val="16"/>
              </w:rPr>
              <w:t xml:space="preserve">Contact </w:t>
            </w:r>
            <w:hyperlink r:id="rId7" w:history="1">
              <w:r w:rsidRPr="00EA0DF4">
                <w:rPr>
                  <w:rStyle w:val="Hyperlink"/>
                  <w:rFonts w:ascii="Arial" w:hAnsi="Arial" w:cs="Arial"/>
                  <w:sz w:val="16"/>
                  <w:szCs w:val="16"/>
                </w:rPr>
                <w:t>info@AHVAP.org</w:t>
              </w:r>
            </w:hyperlink>
          </w:p>
          <w:p w14:paraId="470A221B" w14:textId="77777777" w:rsidR="00F05396" w:rsidRPr="00EA0DF4" w:rsidRDefault="00F05396" w:rsidP="00AD5910">
            <w:pPr>
              <w:rPr>
                <w:rFonts w:ascii="Arial" w:hAnsi="Arial" w:cs="Arial"/>
                <w:sz w:val="16"/>
                <w:szCs w:val="16"/>
              </w:rPr>
            </w:pPr>
            <w:r w:rsidRPr="00EA0DF4">
              <w:rPr>
                <w:rFonts w:ascii="Arial" w:hAnsi="Arial" w:cs="Arial"/>
                <w:sz w:val="16"/>
                <w:szCs w:val="16"/>
              </w:rPr>
              <w:t>to discuss</w:t>
            </w:r>
          </w:p>
        </w:tc>
        <w:tc>
          <w:tcPr>
            <w:tcW w:w="2145" w:type="dxa"/>
          </w:tcPr>
          <w:p w14:paraId="6ACB48DD" w14:textId="77777777" w:rsidR="00F05396" w:rsidRPr="00EA0DF4" w:rsidRDefault="00F05396" w:rsidP="00AD5910">
            <w:pPr>
              <w:rPr>
                <w:rFonts w:ascii="Arial" w:hAnsi="Arial" w:cs="Arial"/>
                <w:sz w:val="16"/>
                <w:szCs w:val="16"/>
              </w:rPr>
            </w:pPr>
            <w:r w:rsidRPr="00EA0DF4">
              <w:rPr>
                <w:rFonts w:ascii="Arial" w:hAnsi="Arial" w:cs="Arial"/>
                <w:sz w:val="16"/>
                <w:szCs w:val="16"/>
              </w:rPr>
              <w:t xml:space="preserve">e-link to posting </w:t>
            </w:r>
          </w:p>
        </w:tc>
      </w:tr>
    </w:tbl>
    <w:p w14:paraId="22790F7E" w14:textId="4B1BA429" w:rsidR="00F85D78" w:rsidRPr="00037B57" w:rsidRDefault="00F85D78" w:rsidP="00F85D78">
      <w:pPr>
        <w:pStyle w:val="ListParagraph"/>
        <w:numPr>
          <w:ilvl w:val="0"/>
          <w:numId w:val="22"/>
        </w:numPr>
        <w:spacing w:after="0" w:line="240" w:lineRule="auto"/>
        <w:rPr>
          <w:sz w:val="22"/>
          <w:szCs w:val="22"/>
        </w:rPr>
      </w:pPr>
      <w:r w:rsidRPr="00037B57">
        <w:rPr>
          <w:sz w:val="22"/>
          <w:szCs w:val="22"/>
          <w:u w:val="single"/>
        </w:rPr>
        <w:t>Proof of completion must be submitted only if you receive notice your educational entry is being audited</w:t>
      </w:r>
      <w:r w:rsidRPr="00037B57">
        <w:rPr>
          <w:sz w:val="22"/>
          <w:szCs w:val="22"/>
        </w:rPr>
        <w:t>. </w:t>
      </w:r>
    </w:p>
    <w:p w14:paraId="195419A3" w14:textId="77777777" w:rsidR="00F85D78" w:rsidRPr="00037B57" w:rsidRDefault="00F85D78" w:rsidP="00F85D78">
      <w:pPr>
        <w:pStyle w:val="ListParagraph"/>
        <w:numPr>
          <w:ilvl w:val="0"/>
          <w:numId w:val="22"/>
        </w:numPr>
        <w:rPr>
          <w:sz w:val="22"/>
          <w:szCs w:val="22"/>
        </w:rPr>
      </w:pPr>
      <w:r w:rsidRPr="00037B57">
        <w:rPr>
          <w:sz w:val="22"/>
          <w:szCs w:val="22"/>
        </w:rPr>
        <w:t>Sessions must be at least 30 minutes in duration and be reported in a minimum of 0.5 contact hour increments</w:t>
      </w:r>
    </w:p>
    <w:p w14:paraId="4A6832EB" w14:textId="7DCCF194" w:rsidR="00F85D78" w:rsidRPr="00037B57" w:rsidRDefault="00F85D78" w:rsidP="00F85D78">
      <w:pPr>
        <w:pStyle w:val="ListParagraph"/>
        <w:numPr>
          <w:ilvl w:val="0"/>
          <w:numId w:val="22"/>
        </w:numPr>
        <w:spacing w:after="200" w:line="276" w:lineRule="auto"/>
        <w:rPr>
          <w:sz w:val="22"/>
          <w:szCs w:val="22"/>
        </w:rPr>
      </w:pPr>
      <w:r w:rsidRPr="00037B57">
        <w:rPr>
          <w:sz w:val="22"/>
          <w:szCs w:val="22"/>
        </w:rPr>
        <w:t>Attendees must be in attendance at least 50 minutes of a 60 minute webinar/lecture to receive credit for the session.</w:t>
      </w:r>
      <w:r w:rsidR="00037B57" w:rsidRPr="00037B57">
        <w:rPr>
          <w:sz w:val="22"/>
          <w:szCs w:val="22"/>
        </w:rPr>
        <w:t xml:space="preserve"> </w:t>
      </w:r>
      <w:r w:rsidRPr="00037B57">
        <w:rPr>
          <w:sz w:val="22"/>
          <w:szCs w:val="22"/>
        </w:rPr>
        <w:t>Hours reported in excess of the maximum allowed for an Education type will not be eligible toward certification renewal requirements.</w:t>
      </w:r>
    </w:p>
    <w:p w14:paraId="1A763DC3" w14:textId="77777777" w:rsidR="00F85D78" w:rsidRPr="00037B57" w:rsidRDefault="00F85D78" w:rsidP="00F85D78">
      <w:pPr>
        <w:pStyle w:val="ListParagraph"/>
        <w:numPr>
          <w:ilvl w:val="0"/>
          <w:numId w:val="22"/>
        </w:numPr>
        <w:spacing w:after="200" w:line="276" w:lineRule="auto"/>
        <w:rPr>
          <w:sz w:val="22"/>
          <w:szCs w:val="22"/>
        </w:rPr>
      </w:pPr>
      <w:r w:rsidRPr="00037B57">
        <w:rPr>
          <w:sz w:val="22"/>
          <w:szCs w:val="22"/>
        </w:rPr>
        <w:lastRenderedPageBreak/>
        <w:t>Educational credits must be completed during the current certification renewal period.  Excess credits do not carry over to the next period.</w:t>
      </w:r>
    </w:p>
    <w:p w14:paraId="413D65E2" w14:textId="2353F857" w:rsidR="00D40270" w:rsidRPr="003F4EDF" w:rsidRDefault="00701038" w:rsidP="003F4EDF">
      <w:pPr>
        <w:shd w:val="clear" w:color="auto" w:fill="FFFFFF"/>
        <w:spacing w:after="0" w:line="240" w:lineRule="auto"/>
        <w:ind w:left="360"/>
        <w:rPr>
          <w:rFonts w:eastAsia="Times New Roman"/>
          <w:b/>
          <w:color w:val="000000"/>
          <w:sz w:val="22"/>
          <w:szCs w:val="22"/>
        </w:rPr>
      </w:pPr>
      <w:r>
        <w:rPr>
          <w:rFonts w:eastAsia="Times New Roman"/>
          <w:b/>
          <w:color w:val="000000"/>
          <w:sz w:val="22"/>
          <w:szCs w:val="22"/>
        </w:rPr>
        <w:t xml:space="preserve">Failure to Renew by the date of expiration – </w:t>
      </w:r>
      <w:r w:rsidR="003F4EDF">
        <w:rPr>
          <w:rFonts w:eastAsia="Times New Roman"/>
          <w:b/>
          <w:color w:val="000000"/>
          <w:sz w:val="22"/>
          <w:szCs w:val="22"/>
        </w:rPr>
        <w:t>Reinstatement of Certification</w:t>
      </w:r>
      <w:r>
        <w:rPr>
          <w:rFonts w:eastAsia="Times New Roman"/>
          <w:b/>
          <w:color w:val="000000"/>
          <w:sz w:val="22"/>
          <w:szCs w:val="22"/>
        </w:rPr>
        <w:t xml:space="preserve"> </w:t>
      </w:r>
      <w:r w:rsidR="003A21AD">
        <w:rPr>
          <w:rFonts w:eastAsia="Times New Roman"/>
          <w:b/>
          <w:color w:val="000000"/>
          <w:sz w:val="22"/>
          <w:szCs w:val="22"/>
        </w:rPr>
        <w:br/>
      </w:r>
    </w:p>
    <w:p w14:paraId="7C9E6638" w14:textId="54F7C3D0" w:rsidR="00372B6F" w:rsidRPr="0026136F" w:rsidRDefault="00701038" w:rsidP="00701038">
      <w:pPr>
        <w:numPr>
          <w:ilvl w:val="1"/>
          <w:numId w:val="18"/>
        </w:numPr>
        <w:shd w:val="clear" w:color="auto" w:fill="FFFFFF"/>
        <w:spacing w:after="0" w:line="240" w:lineRule="auto"/>
        <w:rPr>
          <w:rFonts w:eastAsia="Times New Roman"/>
          <w:b/>
          <w:color w:val="222222"/>
          <w:sz w:val="22"/>
        </w:rPr>
      </w:pPr>
      <w:r w:rsidRPr="0026136F">
        <w:rPr>
          <w:rFonts w:eastAsia="Times New Roman"/>
          <w:color w:val="222222"/>
          <w:sz w:val="22"/>
        </w:rPr>
        <w:t>When certification is not renewed by the expiration date</w:t>
      </w:r>
      <w:r w:rsidR="00372B6F" w:rsidRPr="0026136F">
        <w:rPr>
          <w:rFonts w:eastAsia="Times New Roman"/>
          <w:color w:val="222222"/>
          <w:sz w:val="22"/>
        </w:rPr>
        <w:t xml:space="preserve">, certification may be reinstated during the thirty (30) day period following the date of expiration by: </w:t>
      </w:r>
    </w:p>
    <w:p w14:paraId="3A629EC0" w14:textId="63F9008E" w:rsidR="00372B6F" w:rsidRPr="0026136F" w:rsidRDefault="00372B6F" w:rsidP="00372B6F">
      <w:pPr>
        <w:pStyle w:val="ListParagraph"/>
        <w:numPr>
          <w:ilvl w:val="0"/>
          <w:numId w:val="19"/>
        </w:numPr>
        <w:shd w:val="clear" w:color="auto" w:fill="FFFFFF"/>
        <w:spacing w:after="0" w:line="240" w:lineRule="auto"/>
        <w:rPr>
          <w:rFonts w:eastAsia="Times New Roman"/>
          <w:b/>
          <w:color w:val="222222"/>
          <w:sz w:val="22"/>
        </w:rPr>
      </w:pPr>
      <w:r w:rsidRPr="0026136F">
        <w:rPr>
          <w:rFonts w:eastAsia="Times New Roman"/>
          <w:color w:val="222222"/>
          <w:sz w:val="22"/>
        </w:rPr>
        <w:t>Submitting record of the required 45 CE credits. CE’s completed during the 30 day grace period may be used to satisfy the CE requirement for renewal and cannot be used for a subsequent renewal.</w:t>
      </w:r>
    </w:p>
    <w:p w14:paraId="6FD261F6" w14:textId="62973055" w:rsidR="00701038" w:rsidRPr="0026136F" w:rsidRDefault="00372B6F" w:rsidP="00372B6F">
      <w:pPr>
        <w:pStyle w:val="ListParagraph"/>
        <w:numPr>
          <w:ilvl w:val="0"/>
          <w:numId w:val="19"/>
        </w:numPr>
        <w:shd w:val="clear" w:color="auto" w:fill="FFFFFF"/>
        <w:spacing w:after="0" w:line="240" w:lineRule="auto"/>
        <w:rPr>
          <w:rFonts w:eastAsia="Times New Roman"/>
          <w:b/>
          <w:color w:val="222222"/>
          <w:sz w:val="22"/>
        </w:rPr>
      </w:pPr>
      <w:r w:rsidRPr="0026136F">
        <w:rPr>
          <w:rFonts w:eastAsia="Times New Roman"/>
          <w:color w:val="222222"/>
          <w:sz w:val="22"/>
        </w:rPr>
        <w:t xml:space="preserve">The applicant must submit the renewal fee </w:t>
      </w:r>
      <w:r w:rsidRPr="0026136F">
        <w:rPr>
          <w:rFonts w:eastAsia="Times New Roman"/>
          <w:color w:val="222222"/>
          <w:sz w:val="22"/>
          <w:u w:val="single"/>
        </w:rPr>
        <w:t>AND</w:t>
      </w:r>
      <w:r w:rsidRPr="0026136F">
        <w:rPr>
          <w:rFonts w:eastAsia="Times New Roman"/>
          <w:color w:val="222222"/>
          <w:sz w:val="22"/>
        </w:rPr>
        <w:t xml:space="preserve"> a $50.00 late fee </w:t>
      </w:r>
    </w:p>
    <w:p w14:paraId="03EEB111" w14:textId="5D90F099" w:rsidR="004A6D33" w:rsidRPr="0026136F" w:rsidRDefault="00701038" w:rsidP="004A6D33">
      <w:pPr>
        <w:numPr>
          <w:ilvl w:val="1"/>
          <w:numId w:val="18"/>
        </w:numPr>
        <w:shd w:val="clear" w:color="auto" w:fill="FFFFFF"/>
        <w:spacing w:after="0" w:line="240" w:lineRule="auto"/>
        <w:rPr>
          <w:rFonts w:eastAsia="Times New Roman"/>
          <w:b/>
          <w:color w:val="222222"/>
          <w:sz w:val="22"/>
        </w:rPr>
      </w:pPr>
      <w:r w:rsidRPr="0026136F">
        <w:rPr>
          <w:rFonts w:eastAsia="Times New Roman"/>
          <w:color w:val="222222"/>
          <w:sz w:val="22"/>
        </w:rPr>
        <w:t xml:space="preserve">Once a certification </w:t>
      </w:r>
      <w:r w:rsidR="004A6D33" w:rsidRPr="0026136F">
        <w:rPr>
          <w:rFonts w:eastAsia="Times New Roman"/>
          <w:color w:val="222222"/>
          <w:sz w:val="22"/>
        </w:rPr>
        <w:t>has expired</w:t>
      </w:r>
      <w:r w:rsidRPr="0026136F">
        <w:rPr>
          <w:rFonts w:eastAsia="Times New Roman"/>
          <w:color w:val="222222"/>
          <w:sz w:val="22"/>
        </w:rPr>
        <w:t>,</w:t>
      </w:r>
      <w:r w:rsidR="00F05E47" w:rsidRPr="0026136F">
        <w:rPr>
          <w:rFonts w:eastAsia="Times New Roman"/>
          <w:color w:val="222222"/>
          <w:sz w:val="22"/>
        </w:rPr>
        <w:t xml:space="preserve"> and the 30 day grace period has passed, certification can be achieved by passing the certification exam.</w:t>
      </w:r>
      <w:r w:rsidRPr="0026136F">
        <w:rPr>
          <w:rFonts w:eastAsia="Times New Roman"/>
          <w:color w:val="222222"/>
          <w:sz w:val="22"/>
        </w:rPr>
        <w:t xml:space="preserve"> </w:t>
      </w:r>
    </w:p>
    <w:p w14:paraId="1C6B0150" w14:textId="77777777" w:rsidR="004A6D33" w:rsidRDefault="004A6D33" w:rsidP="004A6D33">
      <w:pPr>
        <w:shd w:val="clear" w:color="auto" w:fill="FFFFFF"/>
        <w:spacing w:after="0" w:line="240" w:lineRule="auto"/>
        <w:rPr>
          <w:rFonts w:ascii="Calibri" w:eastAsia="Times New Roman" w:hAnsi="Calibri" w:cs="Calibri"/>
          <w:b/>
          <w:color w:val="222222"/>
          <w:sz w:val="22"/>
        </w:rPr>
      </w:pPr>
    </w:p>
    <w:p w14:paraId="305E263D" w14:textId="77777777" w:rsidR="004A6D33" w:rsidRPr="00682FBD" w:rsidRDefault="004A6D33" w:rsidP="004A6D33">
      <w:pPr>
        <w:shd w:val="clear" w:color="auto" w:fill="FFFFFF"/>
        <w:tabs>
          <w:tab w:val="left" w:pos="360"/>
        </w:tabs>
        <w:spacing w:after="0" w:line="240" w:lineRule="auto"/>
        <w:rPr>
          <w:rFonts w:eastAsia="Times New Roman"/>
          <w:sz w:val="22"/>
          <w:szCs w:val="22"/>
        </w:rPr>
      </w:pPr>
      <w:r w:rsidRPr="00682FBD">
        <w:rPr>
          <w:rFonts w:eastAsia="Times New Roman"/>
          <w:b/>
          <w:color w:val="000000"/>
          <w:sz w:val="22"/>
          <w:szCs w:val="22"/>
        </w:rPr>
        <w:t>NOTE</w:t>
      </w:r>
      <w:r>
        <w:rPr>
          <w:rFonts w:eastAsia="Times New Roman"/>
          <w:color w:val="000000"/>
          <w:sz w:val="22"/>
          <w:szCs w:val="22"/>
        </w:rPr>
        <w:t xml:space="preserve">:  </w:t>
      </w:r>
      <w:r w:rsidRPr="00682FBD">
        <w:rPr>
          <w:rFonts w:eastAsia="Times New Roman"/>
          <w:color w:val="000000"/>
          <w:sz w:val="22"/>
          <w:szCs w:val="22"/>
        </w:rPr>
        <w:t xml:space="preserve">For </w:t>
      </w:r>
      <w:r>
        <w:rPr>
          <w:rFonts w:eastAsia="Times New Roman"/>
          <w:color w:val="000000"/>
          <w:sz w:val="22"/>
          <w:szCs w:val="22"/>
        </w:rPr>
        <w:t xml:space="preserve">detailed </w:t>
      </w:r>
      <w:r w:rsidRPr="00682FBD">
        <w:rPr>
          <w:rFonts w:eastAsia="Times New Roman"/>
          <w:color w:val="000000"/>
          <w:sz w:val="22"/>
          <w:szCs w:val="22"/>
        </w:rPr>
        <w:t>application</w:t>
      </w:r>
      <w:r>
        <w:rPr>
          <w:rFonts w:eastAsia="Times New Roman"/>
          <w:color w:val="000000"/>
          <w:sz w:val="22"/>
          <w:szCs w:val="22"/>
        </w:rPr>
        <w:t xml:space="preserve"> requirements</w:t>
      </w:r>
      <w:r w:rsidRPr="00682FBD">
        <w:rPr>
          <w:rFonts w:eastAsia="Times New Roman"/>
          <w:color w:val="000000"/>
          <w:sz w:val="22"/>
          <w:szCs w:val="22"/>
        </w:rPr>
        <w:t xml:space="preserve">, testing and renewal information please see the CVAHP </w:t>
      </w:r>
      <w:r w:rsidRPr="00682FBD">
        <w:rPr>
          <w:rFonts w:eastAsia="Times New Roman"/>
          <w:sz w:val="22"/>
          <w:szCs w:val="22"/>
        </w:rPr>
        <w:t xml:space="preserve">Handbook at </w:t>
      </w:r>
      <w:hyperlink r:id="rId8" w:history="1">
        <w:r w:rsidRPr="00682FBD">
          <w:rPr>
            <w:rStyle w:val="Hyperlink"/>
            <w:rFonts w:eastAsia="Times New Roman"/>
            <w:sz w:val="22"/>
            <w:szCs w:val="22"/>
          </w:rPr>
          <w:t>CVAHP Handbook</w:t>
        </w:r>
      </w:hyperlink>
      <w:r>
        <w:rPr>
          <w:rFonts w:eastAsia="Times New Roman"/>
          <w:sz w:val="22"/>
          <w:szCs w:val="22"/>
        </w:rPr>
        <w:t>.</w:t>
      </w:r>
    </w:p>
    <w:p w14:paraId="501E2AD6" w14:textId="77777777" w:rsidR="004A6D33" w:rsidRPr="004A6D33" w:rsidRDefault="004A6D33" w:rsidP="004A6D33">
      <w:pPr>
        <w:shd w:val="clear" w:color="auto" w:fill="FFFFFF"/>
        <w:spacing w:after="0" w:line="240" w:lineRule="auto"/>
        <w:ind w:left="360"/>
        <w:rPr>
          <w:rFonts w:ascii="Calibri" w:eastAsia="Times New Roman" w:hAnsi="Calibri" w:cs="Calibri"/>
          <w:b/>
          <w:color w:val="222222"/>
          <w:sz w:val="22"/>
        </w:rPr>
      </w:pPr>
    </w:p>
    <w:p w14:paraId="4ABEF4BC" w14:textId="77777777" w:rsidR="003F4EDF" w:rsidRPr="003F4EDF" w:rsidRDefault="003F4EDF" w:rsidP="003F4EDF">
      <w:pPr>
        <w:shd w:val="clear" w:color="auto" w:fill="FFFFFF"/>
        <w:spacing w:after="0" w:line="240" w:lineRule="auto"/>
        <w:ind w:left="360"/>
        <w:rPr>
          <w:rFonts w:eastAsia="Times New Roman"/>
          <w:color w:val="000000"/>
          <w:sz w:val="22"/>
          <w:szCs w:val="22"/>
        </w:rPr>
      </w:pPr>
    </w:p>
    <w:p w14:paraId="3B9E403D" w14:textId="77777777" w:rsidR="003F4EDF" w:rsidRDefault="003F4EDF" w:rsidP="003F4EDF">
      <w:pPr>
        <w:shd w:val="clear" w:color="auto" w:fill="FFFFFF"/>
        <w:spacing w:after="0" w:line="240" w:lineRule="auto"/>
        <w:ind w:left="360"/>
        <w:rPr>
          <w:rFonts w:eastAsia="Times New Roman"/>
          <w:color w:val="000000"/>
          <w:sz w:val="22"/>
          <w:szCs w:val="22"/>
        </w:rPr>
      </w:pPr>
      <w:r w:rsidRPr="003F4EDF">
        <w:rPr>
          <w:rFonts w:eastAsia="Times New Roman"/>
          <w:b/>
          <w:color w:val="000000"/>
          <w:sz w:val="22"/>
          <w:szCs w:val="22"/>
        </w:rPr>
        <w:t>Appeals</w:t>
      </w:r>
      <w:r w:rsidRPr="003F4EDF">
        <w:rPr>
          <w:rFonts w:eastAsia="Times New Roman"/>
          <w:color w:val="000000"/>
          <w:sz w:val="22"/>
          <w:szCs w:val="22"/>
        </w:rPr>
        <w:t xml:space="preserve">  </w:t>
      </w:r>
    </w:p>
    <w:p w14:paraId="14DF0491" w14:textId="439AA048" w:rsidR="003F4EDF" w:rsidRPr="003F4EDF" w:rsidRDefault="003F4EDF" w:rsidP="003F4EDF">
      <w:pPr>
        <w:shd w:val="clear" w:color="auto" w:fill="FFFFFF"/>
        <w:spacing w:after="0" w:line="240" w:lineRule="auto"/>
        <w:ind w:left="360"/>
        <w:rPr>
          <w:rFonts w:eastAsia="Times New Roman"/>
          <w:color w:val="000000"/>
          <w:sz w:val="22"/>
          <w:szCs w:val="22"/>
        </w:rPr>
      </w:pPr>
      <w:r w:rsidRPr="003F4EDF">
        <w:rPr>
          <w:rFonts w:eastAsia="Times New Roman"/>
          <w:color w:val="000000"/>
          <w:sz w:val="22"/>
          <w:szCs w:val="22"/>
        </w:rPr>
        <w:t>The Purpose of the Appeals Committee is to review and recommend action for requests for exceptions to Requirements and Fees.</w:t>
      </w:r>
      <w:r>
        <w:rPr>
          <w:rFonts w:eastAsia="Times New Roman"/>
          <w:color w:val="000000"/>
          <w:sz w:val="22"/>
          <w:szCs w:val="22"/>
        </w:rPr>
        <w:t xml:space="preserve">  </w:t>
      </w:r>
      <w:r w:rsidR="004A6D33">
        <w:rPr>
          <w:rFonts w:eastAsia="Times New Roman"/>
          <w:color w:val="000000"/>
          <w:sz w:val="22"/>
          <w:szCs w:val="22"/>
        </w:rPr>
        <w:t>A</w:t>
      </w:r>
      <w:r w:rsidRPr="003F4EDF">
        <w:rPr>
          <w:rFonts w:eastAsia="Times New Roman"/>
          <w:color w:val="000000"/>
          <w:sz w:val="22"/>
          <w:szCs w:val="22"/>
        </w:rPr>
        <w:t>pplicants may request a review by an Appeals Committee for exce</w:t>
      </w:r>
      <w:r>
        <w:rPr>
          <w:rFonts w:eastAsia="Times New Roman"/>
          <w:color w:val="000000"/>
          <w:sz w:val="22"/>
          <w:szCs w:val="22"/>
        </w:rPr>
        <w:t xml:space="preserve">ptions. </w:t>
      </w:r>
      <w:r w:rsidR="004A6D33" w:rsidRPr="003D53A2">
        <w:rPr>
          <w:rFonts w:eastAsia="Times New Roman"/>
          <w:color w:val="000000"/>
          <w:sz w:val="22"/>
          <w:szCs w:val="22"/>
        </w:rPr>
        <w:t xml:space="preserve">The committee will </w:t>
      </w:r>
      <w:r w:rsidR="003D53A2" w:rsidRPr="003D53A2">
        <w:rPr>
          <w:rFonts w:eastAsia="Times New Roman"/>
          <w:color w:val="000000"/>
          <w:sz w:val="22"/>
          <w:szCs w:val="22"/>
        </w:rPr>
        <w:t>consider</w:t>
      </w:r>
      <w:r w:rsidR="004A6D33" w:rsidRPr="003D53A2">
        <w:rPr>
          <w:rFonts w:eastAsia="Times New Roman"/>
          <w:color w:val="000000"/>
          <w:sz w:val="22"/>
          <w:szCs w:val="22"/>
        </w:rPr>
        <w:t xml:space="preserve"> exceptions </w:t>
      </w:r>
      <w:r w:rsidR="003D53A2" w:rsidRPr="003D53A2">
        <w:rPr>
          <w:rFonts w:eastAsia="Times New Roman"/>
          <w:color w:val="000000"/>
          <w:sz w:val="22"/>
          <w:szCs w:val="22"/>
        </w:rPr>
        <w:t>for</w:t>
      </w:r>
      <w:r w:rsidR="004A6D33" w:rsidRPr="003D53A2">
        <w:rPr>
          <w:rFonts w:eastAsia="Times New Roman"/>
          <w:color w:val="000000"/>
          <w:sz w:val="22"/>
          <w:szCs w:val="22"/>
        </w:rPr>
        <w:t xml:space="preserve"> extenuating circumstances on a case-by-case basis</w:t>
      </w:r>
      <w:r w:rsidR="003D53A2">
        <w:rPr>
          <w:rFonts w:eastAsia="Times New Roman"/>
          <w:color w:val="000000"/>
          <w:sz w:val="22"/>
          <w:szCs w:val="22"/>
        </w:rPr>
        <w:t xml:space="preserve"> and advise the AHVAP Board of their decision prior to notifying the requester of their ruling.</w:t>
      </w:r>
      <w:r>
        <w:rPr>
          <w:rFonts w:eastAsia="Times New Roman"/>
          <w:color w:val="000000"/>
          <w:sz w:val="22"/>
          <w:szCs w:val="22"/>
        </w:rPr>
        <w:t xml:space="preserve"> </w:t>
      </w:r>
    </w:p>
    <w:p w14:paraId="064E0890" w14:textId="77777777" w:rsidR="000D5915" w:rsidRPr="008B3F40" w:rsidRDefault="000D5915" w:rsidP="008B3F40">
      <w:pPr>
        <w:spacing w:after="0" w:line="240" w:lineRule="auto"/>
        <w:rPr>
          <w:sz w:val="22"/>
          <w:szCs w:val="22"/>
        </w:rPr>
      </w:pPr>
    </w:p>
    <w:p w14:paraId="7AAB4032" w14:textId="77777777" w:rsidR="000D5915" w:rsidRPr="008B3F40" w:rsidRDefault="000D5915" w:rsidP="008B3F40">
      <w:pPr>
        <w:spacing w:after="0" w:line="240" w:lineRule="auto"/>
        <w:rPr>
          <w:sz w:val="22"/>
          <w:szCs w:val="22"/>
        </w:rPr>
      </w:pPr>
    </w:p>
    <w:p w14:paraId="16CAADBC" w14:textId="77777777" w:rsidR="000D5915" w:rsidRPr="008B3F40" w:rsidRDefault="000D5915" w:rsidP="008B3F40">
      <w:pPr>
        <w:spacing w:after="0" w:line="240" w:lineRule="auto"/>
        <w:rPr>
          <w:sz w:val="22"/>
          <w:szCs w:val="22"/>
        </w:rPr>
      </w:pPr>
    </w:p>
    <w:p w14:paraId="7877CA9A" w14:textId="77777777" w:rsidR="000D5915" w:rsidRPr="008B3F40" w:rsidRDefault="000D5915" w:rsidP="000D5915">
      <w:pPr>
        <w:spacing w:after="0"/>
        <w:rPr>
          <w:sz w:val="22"/>
          <w:szCs w:val="22"/>
        </w:rPr>
      </w:pPr>
    </w:p>
    <w:p w14:paraId="26A476D3" w14:textId="77777777" w:rsidR="000D5915" w:rsidRPr="008B3F40" w:rsidRDefault="000D5915" w:rsidP="000D5915">
      <w:pPr>
        <w:spacing w:after="0"/>
        <w:rPr>
          <w:sz w:val="22"/>
          <w:szCs w:val="22"/>
        </w:rPr>
      </w:pPr>
    </w:p>
    <w:p w14:paraId="0E6F4051" w14:textId="77777777" w:rsidR="000D5915" w:rsidRPr="008B3F40" w:rsidRDefault="000D5915" w:rsidP="000D5915">
      <w:pPr>
        <w:spacing w:after="0"/>
        <w:rPr>
          <w:sz w:val="24"/>
          <w:szCs w:val="24"/>
        </w:rPr>
      </w:pPr>
    </w:p>
    <w:p w14:paraId="2A5A7B24" w14:textId="3A3D222C" w:rsidR="002C1E8E" w:rsidRDefault="003A21AD" w:rsidP="002C1E8E">
      <w:pPr>
        <w:tabs>
          <w:tab w:val="left" w:leader="underscore" w:pos="4320"/>
        </w:tabs>
        <w:spacing w:after="0"/>
      </w:pPr>
      <w:r>
        <w:rPr>
          <w:u w:val="single"/>
        </w:rPr>
        <w:t>0</w:t>
      </w:r>
      <w:r w:rsidR="008D648C">
        <w:rPr>
          <w:u w:val="single"/>
        </w:rPr>
        <w:t>3</w:t>
      </w:r>
      <w:r w:rsidR="002C1E8E" w:rsidRPr="00037B57">
        <w:rPr>
          <w:u w:val="single"/>
        </w:rPr>
        <w:t>/20</w:t>
      </w:r>
      <w:r>
        <w:rPr>
          <w:u w:val="single"/>
        </w:rPr>
        <w:t>21</w:t>
      </w:r>
      <w:r w:rsidR="00037B57">
        <w:rPr>
          <w:u w:val="single"/>
        </w:rPr>
        <w:t xml:space="preserve">                                                                </w:t>
      </w:r>
      <w:r w:rsidR="002C1E8E">
        <w:t>(MM/YYYY)</w:t>
      </w:r>
    </w:p>
    <w:p w14:paraId="6C32E61F" w14:textId="7DEDCF0D" w:rsidR="002C1E8E" w:rsidRDefault="002C1E8E" w:rsidP="002C1E8E">
      <w:pPr>
        <w:tabs>
          <w:tab w:val="left" w:pos="90"/>
          <w:tab w:val="left" w:leader="underscore" w:pos="4320"/>
        </w:tabs>
        <w:spacing w:after="0"/>
      </w:pPr>
      <w:r>
        <w:t>Review Date</w:t>
      </w:r>
    </w:p>
    <w:p w14:paraId="77B32F7D" w14:textId="77777777" w:rsidR="002C1E8E" w:rsidRDefault="002C1E8E" w:rsidP="002C1E8E">
      <w:pPr>
        <w:tabs>
          <w:tab w:val="left" w:leader="underscore" w:pos="4320"/>
        </w:tabs>
        <w:spacing w:after="0"/>
      </w:pPr>
    </w:p>
    <w:p w14:paraId="3031D4E8" w14:textId="77777777" w:rsidR="002C1E8E" w:rsidRDefault="002C1E8E" w:rsidP="002C1E8E">
      <w:pPr>
        <w:tabs>
          <w:tab w:val="left" w:pos="1080"/>
          <w:tab w:val="left" w:leader="underscore" w:pos="4320"/>
        </w:tabs>
        <w:spacing w:after="0"/>
      </w:pPr>
      <w:r w:rsidRPr="001647FA">
        <w:rPr>
          <w:u w:val="single"/>
        </w:rPr>
        <w:t>10/2016</w:t>
      </w:r>
      <w:r>
        <w:rPr>
          <w:u w:val="single"/>
        </w:rPr>
        <w:t xml:space="preserve">                                                                </w:t>
      </w:r>
      <w:r>
        <w:t>(MM/YYYY)</w:t>
      </w:r>
    </w:p>
    <w:p w14:paraId="02C1A3EC" w14:textId="77777777" w:rsidR="002C1E8E" w:rsidRDefault="002C1E8E" w:rsidP="002C1E8E">
      <w:pPr>
        <w:tabs>
          <w:tab w:val="left" w:leader="underscore" w:pos="4320"/>
        </w:tabs>
        <w:spacing w:after="0"/>
      </w:pPr>
      <w:r>
        <w:t>Date approved by AHVAP Board of Directors</w:t>
      </w:r>
    </w:p>
    <w:p w14:paraId="12738CB4" w14:textId="15098C5D" w:rsidR="000D5915" w:rsidRDefault="000D5915" w:rsidP="002C1E8E">
      <w:pPr>
        <w:spacing w:after="0"/>
      </w:pPr>
    </w:p>
    <w:sectPr w:rsidR="000D5915" w:rsidSect="000D59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4FC4D" w14:textId="77777777" w:rsidR="00015A82" w:rsidRDefault="00015A82" w:rsidP="008F567F">
      <w:pPr>
        <w:spacing w:after="0" w:line="240" w:lineRule="auto"/>
      </w:pPr>
      <w:r>
        <w:separator/>
      </w:r>
    </w:p>
  </w:endnote>
  <w:endnote w:type="continuationSeparator" w:id="0">
    <w:p w14:paraId="60E2A9F4" w14:textId="77777777" w:rsidR="00015A82" w:rsidRDefault="00015A82" w:rsidP="008F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B6CB8" w14:textId="77777777" w:rsidR="006B2D61" w:rsidRDefault="006B2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F2D3A" w14:textId="77777777" w:rsidR="006B2D61" w:rsidRDefault="006B2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97982" w14:textId="77777777" w:rsidR="006B2D61" w:rsidRDefault="006B2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313DA" w14:textId="77777777" w:rsidR="00015A82" w:rsidRDefault="00015A82" w:rsidP="008F567F">
      <w:pPr>
        <w:spacing w:after="0" w:line="240" w:lineRule="auto"/>
      </w:pPr>
      <w:r>
        <w:separator/>
      </w:r>
    </w:p>
  </w:footnote>
  <w:footnote w:type="continuationSeparator" w:id="0">
    <w:p w14:paraId="2AF15DD2" w14:textId="77777777" w:rsidR="00015A82" w:rsidRDefault="00015A82" w:rsidP="008F5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60978" w14:textId="77777777" w:rsidR="006B2D61" w:rsidRDefault="006B2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C65A" w14:textId="77777777" w:rsidR="008F567F" w:rsidRDefault="008F567F" w:rsidP="008F567F">
    <w:pPr>
      <w:pStyle w:val="Header"/>
    </w:pPr>
    <w:r>
      <w:rPr>
        <w:noProof/>
      </w:rPr>
      <w:drawing>
        <wp:inline distT="0" distB="0" distL="0" distR="0" wp14:anchorId="78D2D7DE" wp14:editId="4BB065C5">
          <wp:extent cx="1409700" cy="3690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 AHVA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897" cy="395000"/>
                  </a:xfrm>
                  <a:prstGeom prst="rect">
                    <a:avLst/>
                  </a:prstGeom>
                </pic:spPr>
              </pic:pic>
            </a:graphicData>
          </a:graphic>
        </wp:inline>
      </w:drawing>
    </w:r>
  </w:p>
  <w:p w14:paraId="712253D1" w14:textId="77777777" w:rsidR="008F567F" w:rsidRDefault="008F567F" w:rsidP="008F567F">
    <w:pPr>
      <w:pStyle w:val="Header"/>
    </w:pPr>
  </w:p>
  <w:p w14:paraId="4CF6730F" w14:textId="77777777" w:rsidR="008F567F" w:rsidRPr="008F567F" w:rsidRDefault="008F567F" w:rsidP="008F56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5AA1" w14:textId="77777777" w:rsidR="006B2D61" w:rsidRDefault="006B2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4CE4"/>
    <w:multiLevelType w:val="hybridMultilevel"/>
    <w:tmpl w:val="F852E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196D14"/>
    <w:multiLevelType w:val="hybridMultilevel"/>
    <w:tmpl w:val="D42A0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F3443"/>
    <w:multiLevelType w:val="multilevel"/>
    <w:tmpl w:val="3CC0E728"/>
    <w:lvl w:ilvl="0">
      <w:start w:val="1"/>
      <w:numFmt w:val="decimal"/>
      <w:lvlText w:val="%1."/>
      <w:lvlJc w:val="left"/>
      <w:pPr>
        <w:tabs>
          <w:tab w:val="num" w:pos="1080"/>
        </w:tabs>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925E06"/>
    <w:multiLevelType w:val="hybridMultilevel"/>
    <w:tmpl w:val="ACA25C7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8D72F9"/>
    <w:multiLevelType w:val="multilevel"/>
    <w:tmpl w:val="11DA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73086"/>
    <w:multiLevelType w:val="hybridMultilevel"/>
    <w:tmpl w:val="4EA68870"/>
    <w:lvl w:ilvl="0" w:tplc="04090015">
      <w:start w:val="1"/>
      <w:numFmt w:val="upperLetter"/>
      <w:lvlText w:val="%1."/>
      <w:lvlJc w:val="left"/>
      <w:pPr>
        <w:ind w:left="1080" w:hanging="360"/>
      </w:pPr>
    </w:lvl>
    <w:lvl w:ilvl="1" w:tplc="AAF4C8A8">
      <w:start w:val="1"/>
      <w:numFmt w:val="decimal"/>
      <w:lvlText w:val="%2."/>
      <w:lvlJc w:val="left"/>
      <w:pPr>
        <w:ind w:left="117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511C06"/>
    <w:multiLevelType w:val="multilevel"/>
    <w:tmpl w:val="53544B7A"/>
    <w:lvl w:ilvl="0">
      <w:start w:val="1"/>
      <w:numFmt w:val="decimal"/>
      <w:lvlText w:val="%1."/>
      <w:lvlJc w:val="left"/>
      <w:pPr>
        <w:tabs>
          <w:tab w:val="num" w:pos="1080"/>
        </w:tabs>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C6511C2"/>
    <w:multiLevelType w:val="hybridMultilevel"/>
    <w:tmpl w:val="CFFC79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65116"/>
    <w:multiLevelType w:val="multilevel"/>
    <w:tmpl w:val="064A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010357"/>
    <w:multiLevelType w:val="multilevel"/>
    <w:tmpl w:val="997E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64240E"/>
    <w:multiLevelType w:val="hybridMultilevel"/>
    <w:tmpl w:val="B608E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6974EA"/>
    <w:multiLevelType w:val="hybridMultilevel"/>
    <w:tmpl w:val="18828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083A17"/>
    <w:multiLevelType w:val="multilevel"/>
    <w:tmpl w:val="888E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177953"/>
    <w:multiLevelType w:val="hybridMultilevel"/>
    <w:tmpl w:val="14601D0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C3D36"/>
    <w:multiLevelType w:val="hybridMultilevel"/>
    <w:tmpl w:val="1B50268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013ED"/>
    <w:multiLevelType w:val="multilevel"/>
    <w:tmpl w:val="E9608B7C"/>
    <w:lvl w:ilvl="0">
      <w:start w:val="3"/>
      <w:numFmt w:val="decimal"/>
      <w:lvlText w:val="%1."/>
      <w:lvlJc w:val="left"/>
      <w:pPr>
        <w:tabs>
          <w:tab w:val="num" w:pos="1080"/>
        </w:tabs>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510205C7"/>
    <w:multiLevelType w:val="multilevel"/>
    <w:tmpl w:val="B03C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0A1194"/>
    <w:multiLevelType w:val="multilevel"/>
    <w:tmpl w:val="0956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16272D"/>
    <w:multiLevelType w:val="hybridMultilevel"/>
    <w:tmpl w:val="60DC6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521F16"/>
    <w:multiLevelType w:val="multilevel"/>
    <w:tmpl w:val="BAF61BC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3A72A65"/>
    <w:multiLevelType w:val="hybridMultilevel"/>
    <w:tmpl w:val="D332B33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433DA7"/>
    <w:multiLevelType w:val="multilevel"/>
    <w:tmpl w:val="5F604B24"/>
    <w:lvl w:ilvl="0">
      <w:start w:val="1"/>
      <w:numFmt w:val="decimal"/>
      <w:lvlText w:val="%1."/>
      <w:lvlJc w:val="left"/>
      <w:pPr>
        <w:tabs>
          <w:tab w:val="num" w:pos="1080"/>
        </w:tabs>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3"/>
  </w:num>
  <w:num w:numId="2">
    <w:abstractNumId w:val="12"/>
  </w:num>
  <w:num w:numId="3">
    <w:abstractNumId w:val="17"/>
  </w:num>
  <w:num w:numId="4">
    <w:abstractNumId w:val="21"/>
  </w:num>
  <w:num w:numId="5">
    <w:abstractNumId w:val="8"/>
  </w:num>
  <w:num w:numId="6">
    <w:abstractNumId w:val="7"/>
  </w:num>
  <w:num w:numId="7">
    <w:abstractNumId w:val="20"/>
  </w:num>
  <w:num w:numId="8">
    <w:abstractNumId w:val="3"/>
  </w:num>
  <w:num w:numId="9">
    <w:abstractNumId w:val="10"/>
  </w:num>
  <w:num w:numId="10">
    <w:abstractNumId w:val="2"/>
  </w:num>
  <w:num w:numId="11">
    <w:abstractNumId w:val="6"/>
  </w:num>
  <w:num w:numId="12">
    <w:abstractNumId w:val="15"/>
  </w:num>
  <w:num w:numId="13">
    <w:abstractNumId w:val="4"/>
  </w:num>
  <w:num w:numId="14">
    <w:abstractNumId w:val="9"/>
  </w:num>
  <w:num w:numId="15">
    <w:abstractNumId w:val="16"/>
  </w:num>
  <w:num w:numId="16">
    <w:abstractNumId w:val="5"/>
  </w:num>
  <w:num w:numId="17">
    <w:abstractNumId w:val="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7F"/>
    <w:rsid w:val="000003CD"/>
    <w:rsid w:val="00002FCA"/>
    <w:rsid w:val="00015A82"/>
    <w:rsid w:val="000312F5"/>
    <w:rsid w:val="00037B57"/>
    <w:rsid w:val="00054510"/>
    <w:rsid w:val="0009277A"/>
    <w:rsid w:val="000C1521"/>
    <w:rsid w:val="000D5915"/>
    <w:rsid w:val="001419A8"/>
    <w:rsid w:val="001937D9"/>
    <w:rsid w:val="0026136F"/>
    <w:rsid w:val="00283237"/>
    <w:rsid w:val="002C1E8E"/>
    <w:rsid w:val="00320939"/>
    <w:rsid w:val="003714F2"/>
    <w:rsid w:val="00372B6F"/>
    <w:rsid w:val="0038044D"/>
    <w:rsid w:val="003A21AD"/>
    <w:rsid w:val="003D53A2"/>
    <w:rsid w:val="003F4EDF"/>
    <w:rsid w:val="00460788"/>
    <w:rsid w:val="004A6D33"/>
    <w:rsid w:val="004D3E2F"/>
    <w:rsid w:val="00510741"/>
    <w:rsid w:val="005315C8"/>
    <w:rsid w:val="005637F3"/>
    <w:rsid w:val="005811BB"/>
    <w:rsid w:val="005C6E4F"/>
    <w:rsid w:val="006333C6"/>
    <w:rsid w:val="00635F07"/>
    <w:rsid w:val="00682FBD"/>
    <w:rsid w:val="006B2D61"/>
    <w:rsid w:val="00701038"/>
    <w:rsid w:val="00733DC2"/>
    <w:rsid w:val="00764E59"/>
    <w:rsid w:val="00780A2A"/>
    <w:rsid w:val="00815A6B"/>
    <w:rsid w:val="00832DC2"/>
    <w:rsid w:val="008A7B75"/>
    <w:rsid w:val="008B3F40"/>
    <w:rsid w:val="008C336D"/>
    <w:rsid w:val="008C4DDB"/>
    <w:rsid w:val="008D648C"/>
    <w:rsid w:val="008F567F"/>
    <w:rsid w:val="009630DB"/>
    <w:rsid w:val="00972CF1"/>
    <w:rsid w:val="009A126A"/>
    <w:rsid w:val="009E12CC"/>
    <w:rsid w:val="009F0938"/>
    <w:rsid w:val="00A265F8"/>
    <w:rsid w:val="00A860DA"/>
    <w:rsid w:val="00AD1D7B"/>
    <w:rsid w:val="00AE6978"/>
    <w:rsid w:val="00B454FB"/>
    <w:rsid w:val="00BD6AD2"/>
    <w:rsid w:val="00C20CF1"/>
    <w:rsid w:val="00C362B8"/>
    <w:rsid w:val="00D02D66"/>
    <w:rsid w:val="00D40270"/>
    <w:rsid w:val="00D7768C"/>
    <w:rsid w:val="00DC25E6"/>
    <w:rsid w:val="00F05396"/>
    <w:rsid w:val="00F05E47"/>
    <w:rsid w:val="00F21E09"/>
    <w:rsid w:val="00F535A7"/>
    <w:rsid w:val="00F85D78"/>
    <w:rsid w:val="00FA16D6"/>
    <w:rsid w:val="00FB767C"/>
    <w:rsid w:val="00F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58007"/>
  <w15:docId w15:val="{3D26621E-97FE-4724-9EF3-4D878CC2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3CD"/>
  </w:style>
  <w:style w:type="paragraph" w:styleId="Heading1">
    <w:name w:val="heading 1"/>
    <w:basedOn w:val="Normal"/>
    <w:next w:val="Normal"/>
    <w:link w:val="Heading1Char"/>
    <w:uiPriority w:val="9"/>
    <w:qFormat/>
    <w:rsid w:val="000003CD"/>
    <w:pPr>
      <w:keepNext/>
      <w:keepLines/>
      <w:spacing w:before="240" w:after="0"/>
      <w:outlineLvl w:val="0"/>
    </w:pPr>
    <w:rPr>
      <w:rFonts w:eastAsiaTheme="majorEastAsia" w:cstheme="majorBidi"/>
      <w:color w:val="3F4042" w:themeColor="accent1" w:themeShade="BF"/>
      <w:sz w:val="32"/>
      <w:szCs w:val="32"/>
    </w:rPr>
  </w:style>
  <w:style w:type="paragraph" w:styleId="Heading2">
    <w:name w:val="heading 2"/>
    <w:basedOn w:val="Normal"/>
    <w:next w:val="Normal"/>
    <w:link w:val="Heading2Char"/>
    <w:uiPriority w:val="9"/>
    <w:unhideWhenUsed/>
    <w:qFormat/>
    <w:rsid w:val="000003CD"/>
    <w:pPr>
      <w:keepNext/>
      <w:keepLines/>
      <w:spacing w:before="40" w:after="0"/>
      <w:outlineLvl w:val="1"/>
    </w:pPr>
    <w:rPr>
      <w:rFonts w:eastAsiaTheme="majorEastAsia" w:cstheme="majorBidi"/>
      <w:color w:val="3F4042" w:themeColor="accent1" w:themeShade="BF"/>
      <w:sz w:val="26"/>
      <w:szCs w:val="26"/>
    </w:rPr>
  </w:style>
  <w:style w:type="paragraph" w:styleId="Heading3">
    <w:name w:val="heading 3"/>
    <w:basedOn w:val="Normal"/>
    <w:next w:val="Normal"/>
    <w:link w:val="Heading3Char"/>
    <w:uiPriority w:val="9"/>
    <w:unhideWhenUsed/>
    <w:qFormat/>
    <w:rsid w:val="000003CD"/>
    <w:pPr>
      <w:keepNext/>
      <w:keepLines/>
      <w:spacing w:before="40" w:after="0"/>
      <w:outlineLvl w:val="2"/>
    </w:pPr>
    <w:rPr>
      <w:rFonts w:eastAsiaTheme="majorEastAsia" w:cstheme="majorBidi"/>
      <w:color w:val="2A2B2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CD"/>
    <w:pPr>
      <w:spacing w:after="0" w:line="240" w:lineRule="auto"/>
    </w:pPr>
  </w:style>
  <w:style w:type="character" w:customStyle="1" w:styleId="Heading2Char">
    <w:name w:val="Heading 2 Char"/>
    <w:basedOn w:val="DefaultParagraphFont"/>
    <w:link w:val="Heading2"/>
    <w:uiPriority w:val="9"/>
    <w:rsid w:val="000003CD"/>
    <w:rPr>
      <w:rFonts w:ascii="Arial" w:eastAsiaTheme="majorEastAsia" w:hAnsi="Arial" w:cstheme="majorBidi"/>
      <w:color w:val="3F4042" w:themeColor="accent1" w:themeShade="BF"/>
      <w:sz w:val="26"/>
      <w:szCs w:val="26"/>
    </w:rPr>
  </w:style>
  <w:style w:type="character" w:customStyle="1" w:styleId="Heading3Char">
    <w:name w:val="Heading 3 Char"/>
    <w:basedOn w:val="DefaultParagraphFont"/>
    <w:link w:val="Heading3"/>
    <w:uiPriority w:val="9"/>
    <w:rsid w:val="000003CD"/>
    <w:rPr>
      <w:rFonts w:ascii="Arial" w:eastAsiaTheme="majorEastAsia" w:hAnsi="Arial" w:cstheme="majorBidi"/>
      <w:color w:val="2A2B2C" w:themeColor="accent1" w:themeShade="7F"/>
      <w:sz w:val="24"/>
      <w:szCs w:val="24"/>
    </w:rPr>
  </w:style>
  <w:style w:type="character" w:customStyle="1" w:styleId="Heading1Char">
    <w:name w:val="Heading 1 Char"/>
    <w:basedOn w:val="DefaultParagraphFont"/>
    <w:link w:val="Heading1"/>
    <w:uiPriority w:val="9"/>
    <w:rsid w:val="000003CD"/>
    <w:rPr>
      <w:rFonts w:ascii="Arial" w:eastAsiaTheme="majorEastAsia" w:hAnsi="Arial" w:cstheme="majorBidi"/>
      <w:color w:val="3F4042" w:themeColor="accent1" w:themeShade="BF"/>
      <w:sz w:val="32"/>
      <w:szCs w:val="32"/>
    </w:rPr>
  </w:style>
  <w:style w:type="character" w:styleId="SubtleReference">
    <w:name w:val="Subtle Reference"/>
    <w:basedOn w:val="DefaultParagraphFont"/>
    <w:uiPriority w:val="31"/>
    <w:qFormat/>
    <w:rsid w:val="000003CD"/>
    <w:rPr>
      <w:smallCaps/>
      <w:color w:val="8F9294" w:themeColor="text1" w:themeTint="A5"/>
    </w:rPr>
  </w:style>
  <w:style w:type="paragraph" w:styleId="Title">
    <w:name w:val="Title"/>
    <w:basedOn w:val="Normal"/>
    <w:next w:val="Normal"/>
    <w:link w:val="TitleChar"/>
    <w:uiPriority w:val="10"/>
    <w:qFormat/>
    <w:rsid w:val="000003C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03C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003CD"/>
    <w:pPr>
      <w:numPr>
        <w:ilvl w:val="1"/>
      </w:numPr>
    </w:pPr>
    <w:rPr>
      <w:rFonts w:asciiTheme="minorHAnsi" w:eastAsiaTheme="minorEastAsia" w:hAnsiTheme="minorHAnsi" w:cstheme="minorBidi"/>
      <w:color w:val="8F9294" w:themeColor="text1" w:themeTint="A5"/>
      <w:spacing w:val="15"/>
      <w:szCs w:val="22"/>
    </w:rPr>
  </w:style>
  <w:style w:type="character" w:customStyle="1" w:styleId="SubtitleChar">
    <w:name w:val="Subtitle Char"/>
    <w:basedOn w:val="DefaultParagraphFont"/>
    <w:link w:val="Subtitle"/>
    <w:uiPriority w:val="11"/>
    <w:rsid w:val="000003CD"/>
    <w:rPr>
      <w:rFonts w:eastAsiaTheme="minorEastAsia"/>
      <w:color w:val="8F9294" w:themeColor="text1" w:themeTint="A5"/>
      <w:spacing w:val="15"/>
    </w:rPr>
  </w:style>
  <w:style w:type="character" w:styleId="SubtleEmphasis">
    <w:name w:val="Subtle Emphasis"/>
    <w:basedOn w:val="DefaultParagraphFont"/>
    <w:uiPriority w:val="19"/>
    <w:qFormat/>
    <w:rsid w:val="000003CD"/>
    <w:rPr>
      <w:i/>
      <w:iCs/>
      <w:color w:val="7E8084" w:themeColor="text1" w:themeTint="BF"/>
    </w:rPr>
  </w:style>
  <w:style w:type="character" w:styleId="Emphasis">
    <w:name w:val="Emphasis"/>
    <w:basedOn w:val="DefaultParagraphFont"/>
    <w:uiPriority w:val="20"/>
    <w:qFormat/>
    <w:rsid w:val="000003CD"/>
    <w:rPr>
      <w:i/>
      <w:iCs/>
    </w:rPr>
  </w:style>
  <w:style w:type="character" w:styleId="IntenseEmphasis">
    <w:name w:val="Intense Emphasis"/>
    <w:basedOn w:val="DefaultParagraphFont"/>
    <w:uiPriority w:val="21"/>
    <w:qFormat/>
    <w:rsid w:val="000003CD"/>
    <w:rPr>
      <w:i/>
      <w:iCs/>
      <w:color w:val="555759" w:themeColor="accent1"/>
    </w:rPr>
  </w:style>
  <w:style w:type="character" w:styleId="Strong">
    <w:name w:val="Strong"/>
    <w:basedOn w:val="DefaultParagraphFont"/>
    <w:uiPriority w:val="22"/>
    <w:qFormat/>
    <w:rsid w:val="000003CD"/>
    <w:rPr>
      <w:b/>
      <w:bCs/>
    </w:rPr>
  </w:style>
  <w:style w:type="paragraph" w:styleId="Quote">
    <w:name w:val="Quote"/>
    <w:basedOn w:val="Normal"/>
    <w:next w:val="Normal"/>
    <w:link w:val="QuoteChar"/>
    <w:uiPriority w:val="29"/>
    <w:qFormat/>
    <w:rsid w:val="000003CD"/>
    <w:pPr>
      <w:spacing w:before="200"/>
      <w:ind w:left="864" w:right="864"/>
      <w:jc w:val="center"/>
    </w:pPr>
    <w:rPr>
      <w:i/>
      <w:iCs/>
      <w:color w:val="7E8084" w:themeColor="text1" w:themeTint="BF"/>
    </w:rPr>
  </w:style>
  <w:style w:type="character" w:customStyle="1" w:styleId="QuoteChar">
    <w:name w:val="Quote Char"/>
    <w:basedOn w:val="DefaultParagraphFont"/>
    <w:link w:val="Quote"/>
    <w:uiPriority w:val="29"/>
    <w:rsid w:val="000003CD"/>
    <w:rPr>
      <w:rFonts w:ascii="Arial" w:hAnsi="Arial" w:cs="Arial"/>
      <w:i/>
      <w:iCs/>
      <w:color w:val="7E8084" w:themeColor="text1" w:themeTint="BF"/>
      <w:sz w:val="20"/>
      <w:szCs w:val="40"/>
    </w:rPr>
  </w:style>
  <w:style w:type="paragraph" w:styleId="IntenseQuote">
    <w:name w:val="Intense Quote"/>
    <w:basedOn w:val="Normal"/>
    <w:next w:val="Normal"/>
    <w:link w:val="IntenseQuoteChar"/>
    <w:uiPriority w:val="30"/>
    <w:qFormat/>
    <w:rsid w:val="000003CD"/>
    <w:pPr>
      <w:pBdr>
        <w:top w:val="single" w:sz="4" w:space="10" w:color="555759" w:themeColor="accent1"/>
        <w:bottom w:val="single" w:sz="4" w:space="10" w:color="555759" w:themeColor="accent1"/>
      </w:pBdr>
      <w:spacing w:before="360" w:after="360"/>
      <w:ind w:left="864" w:right="864"/>
      <w:jc w:val="center"/>
    </w:pPr>
    <w:rPr>
      <w:i/>
      <w:iCs/>
      <w:color w:val="555759" w:themeColor="accent1"/>
    </w:rPr>
  </w:style>
  <w:style w:type="character" w:customStyle="1" w:styleId="IntenseQuoteChar">
    <w:name w:val="Intense Quote Char"/>
    <w:basedOn w:val="DefaultParagraphFont"/>
    <w:link w:val="IntenseQuote"/>
    <w:uiPriority w:val="30"/>
    <w:rsid w:val="000003CD"/>
    <w:rPr>
      <w:rFonts w:ascii="Arial" w:hAnsi="Arial" w:cs="Arial"/>
      <w:i/>
      <w:iCs/>
      <w:color w:val="555759" w:themeColor="accent1"/>
      <w:sz w:val="20"/>
      <w:szCs w:val="40"/>
    </w:rPr>
  </w:style>
  <w:style w:type="character" w:styleId="IntenseReference">
    <w:name w:val="Intense Reference"/>
    <w:basedOn w:val="DefaultParagraphFont"/>
    <w:uiPriority w:val="32"/>
    <w:qFormat/>
    <w:rsid w:val="000003CD"/>
    <w:rPr>
      <w:b/>
      <w:bCs/>
      <w:smallCaps/>
      <w:color w:val="555759" w:themeColor="accent1"/>
      <w:spacing w:val="5"/>
    </w:rPr>
  </w:style>
  <w:style w:type="character" w:styleId="BookTitle">
    <w:name w:val="Book Title"/>
    <w:basedOn w:val="DefaultParagraphFont"/>
    <w:uiPriority w:val="33"/>
    <w:qFormat/>
    <w:rsid w:val="000003CD"/>
    <w:rPr>
      <w:b/>
      <w:bCs/>
      <w:i/>
      <w:iCs/>
      <w:spacing w:val="5"/>
    </w:rPr>
  </w:style>
  <w:style w:type="paragraph" w:styleId="ListParagraph">
    <w:name w:val="List Paragraph"/>
    <w:basedOn w:val="Normal"/>
    <w:uiPriority w:val="34"/>
    <w:qFormat/>
    <w:rsid w:val="000003CD"/>
    <w:pPr>
      <w:ind w:left="720"/>
      <w:contextualSpacing/>
    </w:pPr>
  </w:style>
  <w:style w:type="character" w:styleId="Hyperlink">
    <w:name w:val="Hyperlink"/>
    <w:basedOn w:val="DefaultParagraphFont"/>
    <w:uiPriority w:val="99"/>
    <w:unhideWhenUsed/>
    <w:rsid w:val="000003CD"/>
    <w:rPr>
      <w:color w:val="0093C9" w:themeColor="hyperlink"/>
      <w:u w:val="single"/>
    </w:rPr>
  </w:style>
  <w:style w:type="character" w:styleId="FollowedHyperlink">
    <w:name w:val="FollowedHyperlink"/>
    <w:basedOn w:val="DefaultParagraphFont"/>
    <w:uiPriority w:val="99"/>
    <w:semiHidden/>
    <w:unhideWhenUsed/>
    <w:rsid w:val="000003CD"/>
    <w:rPr>
      <w:color w:val="8B189B" w:themeColor="followedHyperlink"/>
      <w:u w:val="single"/>
    </w:rPr>
  </w:style>
  <w:style w:type="paragraph" w:styleId="Header">
    <w:name w:val="header"/>
    <w:basedOn w:val="Normal"/>
    <w:link w:val="HeaderChar"/>
    <w:uiPriority w:val="99"/>
    <w:unhideWhenUsed/>
    <w:rsid w:val="008F5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67F"/>
  </w:style>
  <w:style w:type="paragraph" w:styleId="Footer">
    <w:name w:val="footer"/>
    <w:basedOn w:val="Normal"/>
    <w:link w:val="FooterChar"/>
    <w:uiPriority w:val="99"/>
    <w:unhideWhenUsed/>
    <w:qFormat/>
    <w:rsid w:val="008F5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67F"/>
  </w:style>
  <w:style w:type="paragraph" w:styleId="BalloonText">
    <w:name w:val="Balloon Text"/>
    <w:basedOn w:val="Normal"/>
    <w:link w:val="BalloonTextChar"/>
    <w:uiPriority w:val="99"/>
    <w:semiHidden/>
    <w:unhideWhenUsed/>
    <w:rsid w:val="00C20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CF1"/>
    <w:rPr>
      <w:rFonts w:ascii="Tahoma" w:hAnsi="Tahoma" w:cs="Tahoma"/>
      <w:sz w:val="16"/>
      <w:szCs w:val="16"/>
    </w:rPr>
  </w:style>
  <w:style w:type="table" w:styleId="TableGrid">
    <w:name w:val="Table Grid"/>
    <w:basedOn w:val="TableNormal"/>
    <w:uiPriority w:val="39"/>
    <w:rsid w:val="00F05396"/>
    <w:pPr>
      <w:spacing w:after="200" w:line="276" w:lineRule="auto"/>
    </w:pPr>
    <w:rPr>
      <w:rFonts w:asciiTheme="majorHAnsi" w:eastAsiaTheme="majorEastAsia"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072654">
      <w:bodyDiv w:val="1"/>
      <w:marLeft w:val="0"/>
      <w:marRight w:val="0"/>
      <w:marTop w:val="0"/>
      <w:marBottom w:val="0"/>
      <w:divBdr>
        <w:top w:val="none" w:sz="0" w:space="0" w:color="auto"/>
        <w:left w:val="none" w:sz="0" w:space="0" w:color="auto"/>
        <w:bottom w:val="none" w:sz="0" w:space="0" w:color="auto"/>
        <w:right w:val="none" w:sz="0" w:space="0" w:color="auto"/>
      </w:divBdr>
      <w:divsChild>
        <w:div w:id="1921720297">
          <w:marLeft w:val="0"/>
          <w:marRight w:val="0"/>
          <w:marTop w:val="0"/>
          <w:marBottom w:val="0"/>
          <w:divBdr>
            <w:top w:val="none" w:sz="0" w:space="0" w:color="auto"/>
            <w:left w:val="none" w:sz="0" w:space="0" w:color="auto"/>
            <w:bottom w:val="none" w:sz="0" w:space="0" w:color="auto"/>
            <w:right w:val="none" w:sz="0" w:space="0" w:color="auto"/>
          </w:divBdr>
          <w:divsChild>
            <w:div w:id="15349026">
              <w:marLeft w:val="-225"/>
              <w:marRight w:val="-225"/>
              <w:marTop w:val="0"/>
              <w:marBottom w:val="0"/>
              <w:divBdr>
                <w:top w:val="none" w:sz="0" w:space="0" w:color="auto"/>
                <w:left w:val="none" w:sz="0" w:space="0" w:color="auto"/>
                <w:bottom w:val="none" w:sz="0" w:space="0" w:color="auto"/>
                <w:right w:val="none" w:sz="0" w:space="0" w:color="auto"/>
              </w:divBdr>
              <w:divsChild>
                <w:div w:id="2118324836">
                  <w:marLeft w:val="0"/>
                  <w:marRight w:val="0"/>
                  <w:marTop w:val="0"/>
                  <w:marBottom w:val="0"/>
                  <w:divBdr>
                    <w:top w:val="none" w:sz="0" w:space="0" w:color="auto"/>
                    <w:left w:val="none" w:sz="0" w:space="0" w:color="auto"/>
                    <w:bottom w:val="none" w:sz="0" w:space="0" w:color="auto"/>
                    <w:right w:val="none" w:sz="0" w:space="0" w:color="auto"/>
                  </w:divBdr>
                  <w:divsChild>
                    <w:div w:id="297496464">
                      <w:marLeft w:val="0"/>
                      <w:marRight w:val="0"/>
                      <w:marTop w:val="0"/>
                      <w:marBottom w:val="0"/>
                      <w:divBdr>
                        <w:top w:val="none" w:sz="0" w:space="0" w:color="auto"/>
                        <w:left w:val="none" w:sz="0" w:space="0" w:color="auto"/>
                        <w:bottom w:val="none" w:sz="0" w:space="0" w:color="auto"/>
                        <w:right w:val="none" w:sz="0" w:space="0" w:color="auto"/>
                      </w:divBdr>
                      <w:divsChild>
                        <w:div w:id="4308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2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vap.org/?page=CVAHP_home&amp;hhSearchTerms=%22CVAHP+and+handbook%2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AHVAP.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avigant Brand">
      <a:dk1>
        <a:srgbClr val="555759"/>
      </a:dk1>
      <a:lt1>
        <a:srgbClr val="FFFFFF"/>
      </a:lt1>
      <a:dk2>
        <a:srgbClr val="648C1A"/>
      </a:dk2>
      <a:lt2>
        <a:srgbClr val="95D600"/>
      </a:lt2>
      <a:accent1>
        <a:srgbClr val="555759"/>
      </a:accent1>
      <a:accent2>
        <a:srgbClr val="FFB718"/>
      </a:accent2>
      <a:accent3>
        <a:srgbClr val="E53C2E"/>
      </a:accent3>
      <a:accent4>
        <a:srgbClr val="0093C9"/>
      </a:accent4>
      <a:accent5>
        <a:srgbClr val="8B189B"/>
      </a:accent5>
      <a:accent6>
        <a:srgbClr val="FFFFFF"/>
      </a:accent6>
      <a:hlink>
        <a:srgbClr val="0093C9"/>
      </a:hlink>
      <a:folHlink>
        <a:srgbClr val="8B189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Tinker</dc:creator>
  <cp:keywords/>
  <dc:description/>
  <cp:lastModifiedBy>HICKS, SHANNON</cp:lastModifiedBy>
  <cp:revision>4</cp:revision>
  <dcterms:created xsi:type="dcterms:W3CDTF">2021-04-14T18:13:00Z</dcterms:created>
  <dcterms:modified xsi:type="dcterms:W3CDTF">2021-04-14T18:56:00Z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06494a-bfc2-4f46-ab17-24d8fac696a6_Enabled">
    <vt:lpwstr>true</vt:lpwstr>
  </property>
  <property fmtid="{D5CDD505-2E9C-101B-9397-08002B2CF9AE}" pid="3" name="MSIP_Label_d706494a-bfc2-4f46-ab17-24d8fac696a6_SetDate">
    <vt:lpwstr>2021-04-14T18:13:12Z</vt:lpwstr>
  </property>
  <property fmtid="{D5CDD505-2E9C-101B-9397-08002B2CF9AE}" pid="4" name="MSIP_Label_d706494a-bfc2-4f46-ab17-24d8fac696a6_Method">
    <vt:lpwstr>Standard</vt:lpwstr>
  </property>
  <property fmtid="{D5CDD505-2E9C-101B-9397-08002B2CF9AE}" pid="5" name="MSIP_Label_d706494a-bfc2-4f46-ab17-24d8fac696a6_Name">
    <vt:lpwstr>Public2</vt:lpwstr>
  </property>
  <property fmtid="{D5CDD505-2E9C-101B-9397-08002B2CF9AE}" pid="6" name="MSIP_Label_d706494a-bfc2-4f46-ab17-24d8fac696a6_SiteId">
    <vt:lpwstr>b110eddf-23ae-457c-a6f3-734d592b2847</vt:lpwstr>
  </property>
  <property fmtid="{D5CDD505-2E9C-101B-9397-08002B2CF9AE}" pid="7" name="MSIP_Label_d706494a-bfc2-4f46-ab17-24d8fac696a6_ActionId">
    <vt:lpwstr>d4c7cc15-d94f-4e1f-891c-a846cef8e238</vt:lpwstr>
  </property>
  <property fmtid="{D5CDD505-2E9C-101B-9397-08002B2CF9AE}" pid="8" name="MSIP_Label_d706494a-bfc2-4f46-ab17-24d8fac696a6_ContentBits">
    <vt:lpwstr>0</vt:lpwstr>
  </property>
</Properties>
</file>