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70F5" w14:textId="77777777" w:rsidR="00B023F5" w:rsidRPr="00AB733D" w:rsidRDefault="00B023F5" w:rsidP="00B023F5">
      <w:pPr>
        <w:pStyle w:val="Heading1"/>
        <w:spacing w:before="0" w:line="240" w:lineRule="auto"/>
        <w:ind w:right="3136"/>
        <w:rPr>
          <w:rFonts w:cs="Arial"/>
          <w:b/>
          <w:color w:val="auto"/>
          <w:sz w:val="24"/>
          <w:szCs w:val="24"/>
        </w:rPr>
      </w:pPr>
      <w:r w:rsidRPr="00AB733D">
        <w:rPr>
          <w:rFonts w:cs="Arial"/>
          <w:b/>
          <w:color w:val="auto"/>
          <w:sz w:val="24"/>
          <w:szCs w:val="24"/>
        </w:rPr>
        <w:t>990 Joint</w:t>
      </w:r>
      <w:r w:rsidRPr="00AB733D">
        <w:rPr>
          <w:rFonts w:cs="Arial"/>
          <w:b/>
          <w:color w:val="auto"/>
          <w:spacing w:val="-13"/>
          <w:sz w:val="24"/>
          <w:szCs w:val="24"/>
        </w:rPr>
        <w:t xml:space="preserve"> </w:t>
      </w:r>
      <w:r w:rsidRPr="00AB733D">
        <w:rPr>
          <w:rFonts w:cs="Arial"/>
          <w:b/>
          <w:color w:val="auto"/>
          <w:sz w:val="24"/>
          <w:szCs w:val="24"/>
        </w:rPr>
        <w:t>Venture</w:t>
      </w:r>
    </w:p>
    <w:p w14:paraId="6DDC70F6" w14:textId="77777777" w:rsidR="00B023F5" w:rsidRPr="00B023F5" w:rsidRDefault="00B023F5" w:rsidP="00B023F5">
      <w:pPr>
        <w:spacing w:after="0" w:line="240" w:lineRule="auto"/>
        <w:rPr>
          <w:rFonts w:eastAsia="Arial"/>
          <w:sz w:val="22"/>
          <w:szCs w:val="22"/>
        </w:rPr>
      </w:pPr>
    </w:p>
    <w:p w14:paraId="6DDC70F7" w14:textId="77777777" w:rsidR="00B023F5" w:rsidRPr="00B023F5" w:rsidRDefault="00B023F5" w:rsidP="00B023F5">
      <w:pPr>
        <w:pStyle w:val="BodyText"/>
        <w:ind w:left="0" w:right="137"/>
        <w:rPr>
          <w:rFonts w:cs="Arial"/>
          <w:b/>
        </w:rPr>
      </w:pPr>
      <w:r w:rsidRPr="00B023F5">
        <w:rPr>
          <w:rFonts w:cs="Arial"/>
          <w:b/>
        </w:rPr>
        <w:t>Purpose</w:t>
      </w:r>
    </w:p>
    <w:p w14:paraId="6DDC70F8" w14:textId="77777777" w:rsidR="00B023F5" w:rsidRPr="00B023F5" w:rsidRDefault="00B023F5" w:rsidP="00B023F5">
      <w:pPr>
        <w:pStyle w:val="BodyText"/>
        <w:ind w:left="0" w:right="137"/>
        <w:rPr>
          <w:rFonts w:cs="Arial"/>
        </w:rPr>
      </w:pPr>
      <w:r>
        <w:rPr>
          <w:rFonts w:cs="Arial"/>
        </w:rPr>
        <w:t xml:space="preserve">The </w:t>
      </w:r>
      <w:r w:rsidRPr="00B023F5">
        <w:rPr>
          <w:rFonts w:cs="Arial"/>
        </w:rPr>
        <w:t>Joint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Policy</w:t>
      </w:r>
      <w:r w:rsidRPr="00B023F5">
        <w:rPr>
          <w:rFonts w:cs="Arial"/>
          <w:spacing w:val="-7"/>
          <w:u w:val="single" w:color="000000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Association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Healthcare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Value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Analysis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Professionals</w:t>
      </w:r>
      <w:r w:rsidRPr="00B023F5">
        <w:rPr>
          <w:rFonts w:cs="Arial"/>
          <w:spacing w:val="47"/>
          <w:w w:val="99"/>
        </w:rPr>
        <w:t xml:space="preserve"> </w:t>
      </w:r>
      <w:r w:rsidRPr="00B023F5">
        <w:rPr>
          <w:rFonts w:cs="Arial"/>
        </w:rPr>
        <w:t>(AHVAP)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requires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that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AHVAP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evaluate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its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participation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in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  <w:spacing w:val="-1"/>
        </w:rPr>
        <w:t>joint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arrangements</w:t>
      </w:r>
      <w:r w:rsidRPr="00B023F5">
        <w:rPr>
          <w:rFonts w:cs="Arial"/>
          <w:spacing w:val="26"/>
          <w:w w:val="99"/>
        </w:rPr>
        <w:t xml:space="preserve"> </w:t>
      </w:r>
      <w:r w:rsidRPr="00B023F5">
        <w:rPr>
          <w:rFonts w:cs="Arial"/>
        </w:rPr>
        <w:t>under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Federal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tax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law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and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take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steps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safeguard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AHVAP’s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exempt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status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with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respect</w:t>
      </w:r>
      <w:r w:rsidRPr="00B023F5">
        <w:rPr>
          <w:rFonts w:cs="Arial"/>
          <w:spacing w:val="28"/>
          <w:w w:val="99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such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arrangements.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It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applies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any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joint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ownership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contractual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arrangement</w:t>
      </w:r>
      <w:r w:rsidRPr="00B023F5">
        <w:rPr>
          <w:rFonts w:cs="Arial"/>
          <w:spacing w:val="67"/>
          <w:w w:val="99"/>
        </w:rPr>
        <w:t xml:space="preserve"> </w:t>
      </w:r>
      <w:r w:rsidRPr="00B023F5">
        <w:rPr>
          <w:rFonts w:cs="Arial"/>
        </w:rPr>
        <w:t>through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which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there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is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an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agreement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jointly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undertake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specific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business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enterprise,</w:t>
      </w:r>
      <w:r w:rsidRPr="00B023F5">
        <w:rPr>
          <w:rFonts w:cs="Arial"/>
          <w:spacing w:val="31"/>
          <w:w w:val="99"/>
        </w:rPr>
        <w:t xml:space="preserve"> </w:t>
      </w:r>
      <w:r w:rsidRPr="00B023F5">
        <w:rPr>
          <w:rFonts w:cs="Arial"/>
        </w:rPr>
        <w:t>investment,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exempt-purpose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  <w:spacing w:val="-1"/>
        </w:rPr>
        <w:t>activity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further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defined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in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this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policy.</w:t>
      </w:r>
    </w:p>
    <w:p w14:paraId="6DDC70F9" w14:textId="77777777" w:rsidR="00B023F5" w:rsidRPr="00B023F5" w:rsidRDefault="00B023F5" w:rsidP="00B023F5">
      <w:pPr>
        <w:spacing w:after="0" w:line="240" w:lineRule="auto"/>
        <w:rPr>
          <w:rFonts w:eastAsia="Arial"/>
          <w:sz w:val="22"/>
          <w:szCs w:val="22"/>
        </w:rPr>
      </w:pPr>
    </w:p>
    <w:p w14:paraId="6DDC70FA" w14:textId="77777777" w:rsidR="00B023F5" w:rsidRPr="00B023F5" w:rsidRDefault="00B023F5" w:rsidP="00B023F5">
      <w:pPr>
        <w:pStyle w:val="BodyText"/>
        <w:numPr>
          <w:ilvl w:val="0"/>
          <w:numId w:val="3"/>
        </w:numPr>
        <w:ind w:left="720" w:right="117" w:hanging="360"/>
        <w:rPr>
          <w:rFonts w:cs="Arial"/>
        </w:rPr>
      </w:pPr>
      <w:r w:rsidRPr="00B023F5">
        <w:rPr>
          <w:rFonts w:cs="Arial"/>
          <w:bCs/>
        </w:rPr>
        <w:t>Joint</w:t>
      </w:r>
      <w:r w:rsidRPr="00B023F5">
        <w:rPr>
          <w:rFonts w:cs="Arial"/>
          <w:bCs/>
          <w:spacing w:val="-7"/>
        </w:rPr>
        <w:t xml:space="preserve"> </w:t>
      </w:r>
      <w:r w:rsidRPr="00B023F5">
        <w:rPr>
          <w:rFonts w:cs="Arial"/>
          <w:bCs/>
        </w:rPr>
        <w:t>ventures</w:t>
      </w:r>
      <w:r w:rsidRPr="00B023F5">
        <w:rPr>
          <w:rFonts w:cs="Arial"/>
          <w:bCs/>
          <w:spacing w:val="-7"/>
        </w:rPr>
        <w:t xml:space="preserve"> </w:t>
      </w:r>
      <w:r w:rsidRPr="00B023F5">
        <w:rPr>
          <w:rFonts w:cs="Arial"/>
          <w:bCs/>
        </w:rPr>
        <w:t>or</w:t>
      </w:r>
      <w:r w:rsidRPr="00B023F5">
        <w:rPr>
          <w:rFonts w:cs="Arial"/>
          <w:bCs/>
          <w:spacing w:val="-7"/>
        </w:rPr>
        <w:t xml:space="preserve"> </w:t>
      </w:r>
      <w:r w:rsidRPr="00B023F5">
        <w:rPr>
          <w:rFonts w:cs="Arial"/>
          <w:bCs/>
        </w:rPr>
        <w:t>similar</w:t>
      </w:r>
      <w:r w:rsidRPr="00B023F5">
        <w:rPr>
          <w:rFonts w:cs="Arial"/>
          <w:bCs/>
          <w:spacing w:val="-7"/>
        </w:rPr>
        <w:t xml:space="preserve"> </w:t>
      </w:r>
      <w:r w:rsidRPr="00B023F5">
        <w:rPr>
          <w:rFonts w:cs="Arial"/>
          <w:bCs/>
        </w:rPr>
        <w:t>arrangements</w:t>
      </w:r>
      <w:r w:rsidRPr="00B023F5">
        <w:rPr>
          <w:rFonts w:cs="Arial"/>
          <w:bCs/>
          <w:spacing w:val="-8"/>
        </w:rPr>
        <w:t xml:space="preserve"> </w:t>
      </w:r>
      <w:r w:rsidRPr="00B023F5">
        <w:rPr>
          <w:rFonts w:cs="Arial"/>
          <w:bCs/>
        </w:rPr>
        <w:t>with</w:t>
      </w:r>
      <w:r w:rsidRPr="00B023F5">
        <w:rPr>
          <w:rFonts w:cs="Arial"/>
          <w:bCs/>
          <w:spacing w:val="-7"/>
        </w:rPr>
        <w:t xml:space="preserve"> </w:t>
      </w:r>
      <w:r w:rsidRPr="00B023F5">
        <w:rPr>
          <w:rFonts w:cs="Arial"/>
          <w:bCs/>
        </w:rPr>
        <w:t>taxable</w:t>
      </w:r>
      <w:r w:rsidRPr="00B023F5">
        <w:rPr>
          <w:rFonts w:cs="Arial"/>
          <w:bCs/>
          <w:spacing w:val="-7"/>
        </w:rPr>
        <w:t xml:space="preserve"> </w:t>
      </w:r>
      <w:r w:rsidRPr="00B023F5">
        <w:rPr>
          <w:rFonts w:cs="Arial"/>
          <w:bCs/>
        </w:rPr>
        <w:t>entities</w:t>
      </w:r>
      <w:r w:rsidRPr="00B023F5">
        <w:rPr>
          <w:rFonts w:cs="Arial"/>
        </w:rPr>
        <w:t>.</w:t>
      </w:r>
      <w:r w:rsidRPr="00B023F5">
        <w:rPr>
          <w:rFonts w:cs="Arial"/>
          <w:spacing w:val="-7"/>
        </w:rPr>
        <w:t xml:space="preserve"> </w:t>
      </w:r>
    </w:p>
    <w:p w14:paraId="6DDC70FB" w14:textId="77777777" w:rsidR="00B023F5" w:rsidRPr="00B023F5" w:rsidRDefault="00B023F5" w:rsidP="00B023F5">
      <w:pPr>
        <w:pStyle w:val="BodyText"/>
        <w:numPr>
          <w:ilvl w:val="1"/>
          <w:numId w:val="3"/>
        </w:numPr>
        <w:ind w:left="1080" w:right="117"/>
        <w:rPr>
          <w:rFonts w:cs="Arial"/>
        </w:rPr>
      </w:pPr>
      <w:r w:rsidRPr="00B023F5">
        <w:rPr>
          <w:rFonts w:cs="Arial"/>
        </w:rPr>
        <w:t>For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purposes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this</w:t>
      </w:r>
      <w:r w:rsidRPr="00B023F5">
        <w:rPr>
          <w:rFonts w:cs="Arial"/>
          <w:spacing w:val="22"/>
          <w:w w:val="99"/>
        </w:rPr>
        <w:t xml:space="preserve"> </w:t>
      </w:r>
      <w:r w:rsidRPr="00B023F5">
        <w:rPr>
          <w:rFonts w:cs="Arial"/>
        </w:rPr>
        <w:t>policy,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joint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similar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arrangement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(or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“venture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arrangement”)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means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any</w:t>
      </w:r>
      <w:r w:rsidRPr="00B023F5">
        <w:rPr>
          <w:rFonts w:cs="Arial"/>
          <w:spacing w:val="28"/>
          <w:w w:val="99"/>
        </w:rPr>
        <w:t xml:space="preserve"> </w:t>
      </w:r>
      <w:r w:rsidRPr="00B023F5">
        <w:rPr>
          <w:rFonts w:cs="Arial"/>
        </w:rPr>
        <w:t>joint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ownership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contractual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arrangement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through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which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there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an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agreement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jointly</w:t>
      </w:r>
      <w:r w:rsidRPr="00B023F5">
        <w:rPr>
          <w:rFonts w:cs="Arial"/>
          <w:spacing w:val="63"/>
        </w:rPr>
        <w:t xml:space="preserve"> </w:t>
      </w:r>
      <w:r w:rsidRPr="00B023F5">
        <w:rPr>
          <w:rFonts w:cs="Arial"/>
        </w:rPr>
        <w:t>undertake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a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specific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  <w:spacing w:val="-1"/>
        </w:rPr>
        <w:t>business</w:t>
      </w:r>
      <w:r w:rsidRPr="00B023F5">
        <w:rPr>
          <w:rFonts w:cs="Arial"/>
          <w:spacing w:val="-10"/>
        </w:rPr>
        <w:t xml:space="preserve"> </w:t>
      </w:r>
      <w:r w:rsidRPr="00B023F5">
        <w:rPr>
          <w:rFonts w:cs="Arial"/>
        </w:rPr>
        <w:t>enterprise,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investment,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exempt-purpose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  <w:spacing w:val="-1"/>
        </w:rPr>
        <w:t>activity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without</w:t>
      </w:r>
      <w:r w:rsidRPr="00B023F5">
        <w:rPr>
          <w:rFonts w:cs="Arial"/>
          <w:spacing w:val="32"/>
        </w:rPr>
        <w:t xml:space="preserve"> </w:t>
      </w:r>
      <w:r w:rsidRPr="00B023F5">
        <w:rPr>
          <w:rFonts w:cs="Arial"/>
        </w:rPr>
        <w:t>regard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to:</w:t>
      </w:r>
      <w:r w:rsidRPr="00B023F5">
        <w:rPr>
          <w:rFonts w:cs="Arial"/>
          <w:spacing w:val="-6"/>
        </w:rPr>
        <w:t xml:space="preserve"> </w:t>
      </w:r>
    </w:p>
    <w:p w14:paraId="6DDC70FC" w14:textId="77777777" w:rsidR="00B023F5" w:rsidRPr="00B023F5" w:rsidRDefault="00B023F5" w:rsidP="00B023F5">
      <w:pPr>
        <w:pStyle w:val="BodyText"/>
        <w:numPr>
          <w:ilvl w:val="2"/>
          <w:numId w:val="3"/>
        </w:numPr>
        <w:ind w:left="1440" w:right="117"/>
        <w:rPr>
          <w:rFonts w:cs="Arial"/>
        </w:rPr>
      </w:pPr>
      <w:r>
        <w:rPr>
          <w:rFonts w:cs="Arial"/>
        </w:rPr>
        <w:t>W</w:t>
      </w:r>
      <w:r w:rsidRPr="00B023F5">
        <w:rPr>
          <w:rFonts w:cs="Arial"/>
        </w:rPr>
        <w:t>hether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AHVAP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controls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the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arrangement;</w:t>
      </w:r>
      <w:r w:rsidRPr="00B023F5">
        <w:rPr>
          <w:rFonts w:cs="Arial"/>
          <w:spacing w:val="-6"/>
        </w:rPr>
        <w:t xml:space="preserve"> </w:t>
      </w:r>
    </w:p>
    <w:p w14:paraId="6DDC70FD" w14:textId="77777777" w:rsidR="00B023F5" w:rsidRPr="00B023F5" w:rsidRDefault="00B023F5" w:rsidP="00B023F5">
      <w:pPr>
        <w:pStyle w:val="BodyText"/>
        <w:numPr>
          <w:ilvl w:val="2"/>
          <w:numId w:val="3"/>
        </w:numPr>
        <w:ind w:left="1440" w:right="117"/>
        <w:rPr>
          <w:rFonts w:cs="Arial"/>
        </w:rPr>
      </w:pPr>
      <w:r>
        <w:rPr>
          <w:rFonts w:cs="Arial"/>
        </w:rPr>
        <w:t>T</w:t>
      </w:r>
      <w:r w:rsidRPr="00B023F5">
        <w:rPr>
          <w:rFonts w:cs="Arial"/>
        </w:rPr>
        <w:t>he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legal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structure</w:t>
      </w:r>
      <w:r w:rsidRPr="00B023F5">
        <w:rPr>
          <w:rFonts w:cs="Arial"/>
          <w:spacing w:val="26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the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arrangement;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</w:p>
    <w:p w14:paraId="6DDC70FE" w14:textId="77777777" w:rsidR="00B023F5" w:rsidRDefault="00B023F5" w:rsidP="00B023F5">
      <w:pPr>
        <w:pStyle w:val="BodyText"/>
        <w:numPr>
          <w:ilvl w:val="2"/>
          <w:numId w:val="3"/>
        </w:numPr>
        <w:ind w:left="1440" w:right="117"/>
        <w:rPr>
          <w:rFonts w:cs="Arial"/>
        </w:rPr>
      </w:pPr>
      <w:r>
        <w:rPr>
          <w:rFonts w:cs="Arial"/>
        </w:rPr>
        <w:t>W</w:t>
      </w:r>
      <w:r w:rsidRPr="00B023F5">
        <w:rPr>
          <w:rFonts w:cs="Arial"/>
        </w:rPr>
        <w:t>hether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arrangement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taxed</w:t>
      </w:r>
      <w:r w:rsidRPr="00B023F5">
        <w:rPr>
          <w:rFonts w:cs="Arial"/>
          <w:spacing w:val="3"/>
        </w:rPr>
        <w:t xml:space="preserve"> </w:t>
      </w:r>
      <w:r w:rsidRPr="00B023F5">
        <w:rPr>
          <w:rFonts w:cs="Arial"/>
        </w:rPr>
        <w:t>as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partnership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or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as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an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association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corporation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for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federal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  <w:spacing w:val="-1"/>
        </w:rPr>
        <w:t>income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tax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 xml:space="preserve">purposes. </w:t>
      </w:r>
    </w:p>
    <w:p w14:paraId="6DDC70FF" w14:textId="77777777" w:rsidR="00B023F5" w:rsidRPr="00B023F5" w:rsidRDefault="00B023F5" w:rsidP="00B023F5">
      <w:pPr>
        <w:pStyle w:val="BodyText"/>
        <w:numPr>
          <w:ilvl w:val="1"/>
          <w:numId w:val="3"/>
        </w:numPr>
        <w:ind w:left="1080" w:right="117"/>
        <w:rPr>
          <w:rFonts w:cs="Arial"/>
        </w:rPr>
      </w:pPr>
      <w:r w:rsidRPr="00B023F5">
        <w:rPr>
          <w:rFonts w:cs="Arial"/>
        </w:rPr>
        <w:t>A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arrangement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is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  <w:spacing w:val="-1"/>
        </w:rPr>
        <w:t>disregarded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if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it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meets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both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  <w:spacing w:val="-1"/>
        </w:rPr>
        <w:t>the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following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conditions:</w:t>
      </w:r>
    </w:p>
    <w:p w14:paraId="6DDC7100" w14:textId="77777777" w:rsidR="00B023F5" w:rsidRPr="00B023F5" w:rsidRDefault="00B023F5" w:rsidP="00B023F5">
      <w:pPr>
        <w:pStyle w:val="BodyText"/>
        <w:numPr>
          <w:ilvl w:val="2"/>
          <w:numId w:val="3"/>
        </w:numPr>
        <w:ind w:left="1440" w:right="144"/>
        <w:rPr>
          <w:rFonts w:cs="Arial"/>
        </w:rPr>
      </w:pPr>
      <w:r>
        <w:rPr>
          <w:rFonts w:cs="Arial"/>
        </w:rPr>
        <w:t>Ninety-five percent (</w:t>
      </w:r>
      <w:r w:rsidRPr="00B023F5">
        <w:rPr>
          <w:rFonts w:cs="Arial"/>
        </w:rPr>
        <w:t>95%</w:t>
      </w:r>
      <w:r>
        <w:rPr>
          <w:rFonts w:cs="Arial"/>
        </w:rPr>
        <w:t>)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more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venture’s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arrangement’s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income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  <w:spacing w:val="-1"/>
        </w:rPr>
        <w:t>for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its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tax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year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ending</w:t>
      </w:r>
      <w:r w:rsidRPr="00B023F5">
        <w:rPr>
          <w:rFonts w:cs="Arial"/>
          <w:spacing w:val="23"/>
          <w:w w:val="99"/>
        </w:rPr>
        <w:t xml:space="preserve"> </w:t>
      </w:r>
      <w:r w:rsidRPr="00B023F5">
        <w:rPr>
          <w:rFonts w:cs="Arial"/>
        </w:rPr>
        <w:t>within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AHVAP’s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tax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year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excluded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from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unrelated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business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income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taxation</w:t>
      </w:r>
      <w:r>
        <w:rPr>
          <w:rFonts w:cs="Arial"/>
          <w:spacing w:val="23"/>
          <w:w w:val="99"/>
        </w:rPr>
        <w:t xml:space="preserve">, </w:t>
      </w:r>
      <w:r w:rsidRPr="00B023F5">
        <w:rPr>
          <w:rFonts w:cs="Arial"/>
        </w:rPr>
        <w:t>including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but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not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limited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to:</w:t>
      </w:r>
      <w:r w:rsidRPr="00B023F5">
        <w:rPr>
          <w:rFonts w:cs="Arial"/>
          <w:spacing w:val="-6"/>
        </w:rPr>
        <w:t xml:space="preserve"> </w:t>
      </w:r>
    </w:p>
    <w:p w14:paraId="6DDC7101" w14:textId="77777777" w:rsidR="00B023F5" w:rsidRDefault="00B023F5" w:rsidP="00B023F5">
      <w:pPr>
        <w:pStyle w:val="BodyText"/>
        <w:numPr>
          <w:ilvl w:val="3"/>
          <w:numId w:val="3"/>
        </w:numPr>
        <w:ind w:left="1800" w:right="144"/>
        <w:rPr>
          <w:rFonts w:cs="Arial"/>
        </w:rPr>
      </w:pPr>
      <w:r>
        <w:rPr>
          <w:rFonts w:cs="Arial"/>
          <w:spacing w:val="-1"/>
        </w:rPr>
        <w:t>D</w:t>
      </w:r>
      <w:r w:rsidRPr="00B023F5">
        <w:rPr>
          <w:rFonts w:cs="Arial"/>
          <w:spacing w:val="-1"/>
        </w:rPr>
        <w:t>ividends,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interest,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and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annuities;</w:t>
      </w:r>
      <w:r w:rsidRPr="00B023F5">
        <w:rPr>
          <w:rFonts w:cs="Arial"/>
          <w:spacing w:val="-6"/>
        </w:rPr>
        <w:t xml:space="preserve"> </w:t>
      </w:r>
    </w:p>
    <w:p w14:paraId="6DDC7102" w14:textId="77777777" w:rsidR="00B023F5" w:rsidRPr="00B023F5" w:rsidRDefault="00B023F5" w:rsidP="00B023F5">
      <w:pPr>
        <w:pStyle w:val="BodyText"/>
        <w:numPr>
          <w:ilvl w:val="3"/>
          <w:numId w:val="3"/>
        </w:numPr>
        <w:ind w:left="1800" w:right="144"/>
        <w:rPr>
          <w:rFonts w:cs="Arial"/>
        </w:rPr>
      </w:pPr>
      <w:r>
        <w:rPr>
          <w:rFonts w:cs="Arial"/>
        </w:rPr>
        <w:t>R</w:t>
      </w:r>
      <w:r w:rsidRPr="00B023F5">
        <w:rPr>
          <w:rFonts w:cs="Arial"/>
        </w:rPr>
        <w:t>oyalties;</w:t>
      </w:r>
      <w:r w:rsidRPr="00B023F5">
        <w:rPr>
          <w:rFonts w:cs="Arial"/>
          <w:spacing w:val="-6"/>
        </w:rPr>
        <w:t xml:space="preserve"> </w:t>
      </w:r>
    </w:p>
    <w:p w14:paraId="6DDC7103" w14:textId="77777777" w:rsidR="00B023F5" w:rsidRDefault="00B023F5" w:rsidP="00B023F5">
      <w:pPr>
        <w:pStyle w:val="BodyText"/>
        <w:numPr>
          <w:ilvl w:val="3"/>
          <w:numId w:val="3"/>
        </w:numPr>
        <w:ind w:left="1800" w:right="144"/>
        <w:rPr>
          <w:rFonts w:cs="Arial"/>
        </w:rPr>
      </w:pPr>
      <w:r>
        <w:rPr>
          <w:rFonts w:cs="Arial"/>
          <w:spacing w:val="-6"/>
        </w:rPr>
        <w:t>R</w:t>
      </w:r>
      <w:r w:rsidRPr="00B023F5">
        <w:rPr>
          <w:rFonts w:cs="Arial"/>
        </w:rPr>
        <w:t>ent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from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real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property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and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incidental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related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personal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property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except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43"/>
          <w:w w:val="99"/>
        </w:rPr>
        <w:t xml:space="preserve"> </w:t>
      </w:r>
      <w:r w:rsidRPr="00B023F5">
        <w:rPr>
          <w:rFonts w:cs="Arial"/>
        </w:rPr>
        <w:t>extent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debt-financing;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and</w:t>
      </w:r>
      <w:r w:rsidRPr="00B023F5">
        <w:rPr>
          <w:rFonts w:cs="Arial"/>
          <w:spacing w:val="-6"/>
        </w:rPr>
        <w:t xml:space="preserve"> </w:t>
      </w:r>
    </w:p>
    <w:p w14:paraId="6DDC7104" w14:textId="77777777" w:rsidR="00B023F5" w:rsidRPr="00B023F5" w:rsidRDefault="00B023F5" w:rsidP="00B023F5">
      <w:pPr>
        <w:pStyle w:val="BodyText"/>
        <w:numPr>
          <w:ilvl w:val="3"/>
          <w:numId w:val="3"/>
        </w:numPr>
        <w:ind w:left="1800" w:right="144"/>
        <w:rPr>
          <w:rFonts w:cs="Arial"/>
        </w:rPr>
      </w:pPr>
      <w:r>
        <w:rPr>
          <w:rFonts w:cs="Arial"/>
        </w:rPr>
        <w:t>G</w:t>
      </w:r>
      <w:r w:rsidRPr="00B023F5">
        <w:rPr>
          <w:rFonts w:cs="Arial"/>
        </w:rPr>
        <w:t>ains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losses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from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sale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5"/>
        </w:rPr>
        <w:t xml:space="preserve"> </w:t>
      </w:r>
      <w:r>
        <w:rPr>
          <w:rFonts w:cs="Arial"/>
        </w:rPr>
        <w:t>property.</w:t>
      </w:r>
    </w:p>
    <w:p w14:paraId="6DDC7105" w14:textId="77777777" w:rsidR="00B023F5" w:rsidRPr="00B023F5" w:rsidRDefault="00B023F5" w:rsidP="00B023F5">
      <w:pPr>
        <w:pStyle w:val="BodyText"/>
        <w:numPr>
          <w:ilvl w:val="2"/>
          <w:numId w:val="3"/>
        </w:numPr>
        <w:ind w:left="1440" w:right="144"/>
        <w:rPr>
          <w:rFonts w:cs="Arial"/>
        </w:rPr>
      </w:pPr>
      <w:r>
        <w:rPr>
          <w:rFonts w:cs="Arial"/>
        </w:rPr>
        <w:t>T</w:t>
      </w:r>
      <w:r w:rsidRPr="00B023F5">
        <w:rPr>
          <w:rFonts w:cs="Arial"/>
        </w:rPr>
        <w:t>he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primary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purpose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AHVAP’s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contribution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to,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investment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participation</w:t>
      </w:r>
      <w:r w:rsidRPr="00B023F5">
        <w:rPr>
          <w:rFonts w:cs="Arial"/>
          <w:w w:val="99"/>
        </w:rPr>
        <w:t xml:space="preserve"> </w:t>
      </w:r>
      <w:r w:rsidRPr="00B023F5">
        <w:rPr>
          <w:rFonts w:cs="Arial"/>
        </w:rPr>
        <w:t>in,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arrangement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is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production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income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appreciation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22"/>
          <w:w w:val="99"/>
        </w:rPr>
        <w:t xml:space="preserve"> </w:t>
      </w:r>
      <w:r w:rsidRPr="00B023F5">
        <w:rPr>
          <w:rFonts w:cs="Arial"/>
        </w:rPr>
        <w:t>property.</w:t>
      </w:r>
    </w:p>
    <w:p w14:paraId="6DDC7106" w14:textId="77777777" w:rsidR="00B023F5" w:rsidRPr="00B023F5" w:rsidRDefault="00B023F5" w:rsidP="00B023F5">
      <w:pPr>
        <w:spacing w:after="0" w:line="240" w:lineRule="auto"/>
        <w:rPr>
          <w:rFonts w:eastAsia="Arial"/>
          <w:sz w:val="22"/>
          <w:szCs w:val="22"/>
        </w:rPr>
      </w:pPr>
    </w:p>
    <w:p w14:paraId="6DDC7107" w14:textId="77777777" w:rsidR="00B023F5" w:rsidRPr="00B023F5" w:rsidRDefault="00B023F5" w:rsidP="00B023F5">
      <w:pPr>
        <w:pStyle w:val="BodyText"/>
        <w:numPr>
          <w:ilvl w:val="0"/>
          <w:numId w:val="3"/>
        </w:numPr>
        <w:ind w:left="720" w:right="144"/>
        <w:rPr>
          <w:rFonts w:cs="Arial"/>
        </w:rPr>
      </w:pPr>
      <w:r w:rsidRPr="00B023F5">
        <w:rPr>
          <w:rFonts w:cs="Arial"/>
          <w:bCs/>
        </w:rPr>
        <w:t>Safeguards</w:t>
      </w:r>
      <w:r w:rsidRPr="00B023F5">
        <w:rPr>
          <w:rFonts w:cs="Arial"/>
          <w:bCs/>
          <w:spacing w:val="-6"/>
        </w:rPr>
        <w:t xml:space="preserve"> </w:t>
      </w:r>
      <w:r w:rsidRPr="00B023F5">
        <w:rPr>
          <w:rFonts w:cs="Arial"/>
          <w:bCs/>
        </w:rPr>
        <w:t>to</w:t>
      </w:r>
      <w:r w:rsidRPr="00B023F5">
        <w:rPr>
          <w:rFonts w:cs="Arial"/>
          <w:bCs/>
          <w:spacing w:val="-6"/>
        </w:rPr>
        <w:t xml:space="preserve"> </w:t>
      </w:r>
      <w:r w:rsidRPr="00B023F5">
        <w:rPr>
          <w:rFonts w:cs="Arial"/>
          <w:bCs/>
        </w:rPr>
        <w:t>ensure</w:t>
      </w:r>
      <w:r w:rsidRPr="00B023F5">
        <w:rPr>
          <w:rFonts w:cs="Arial"/>
          <w:bCs/>
          <w:spacing w:val="-5"/>
        </w:rPr>
        <w:t xml:space="preserve"> </w:t>
      </w:r>
      <w:r w:rsidRPr="00B023F5">
        <w:rPr>
          <w:rFonts w:cs="Arial"/>
          <w:bCs/>
        </w:rPr>
        <w:t>exempt</w:t>
      </w:r>
      <w:r w:rsidRPr="00B023F5">
        <w:rPr>
          <w:rFonts w:cs="Arial"/>
          <w:bCs/>
          <w:spacing w:val="-6"/>
        </w:rPr>
        <w:t xml:space="preserve"> </w:t>
      </w:r>
      <w:r w:rsidRPr="00B023F5">
        <w:rPr>
          <w:rFonts w:cs="Arial"/>
          <w:bCs/>
        </w:rPr>
        <w:t>status</w:t>
      </w:r>
      <w:r w:rsidRPr="00B023F5">
        <w:rPr>
          <w:rFonts w:cs="Arial"/>
          <w:bCs/>
          <w:spacing w:val="-6"/>
        </w:rPr>
        <w:t xml:space="preserve"> </w:t>
      </w:r>
      <w:r w:rsidRPr="00B023F5">
        <w:rPr>
          <w:rFonts w:cs="Arial"/>
          <w:bCs/>
        </w:rPr>
        <w:t>protection</w:t>
      </w:r>
      <w:r w:rsidRPr="00B023F5">
        <w:rPr>
          <w:rFonts w:cs="Arial"/>
        </w:rPr>
        <w:t>.</w:t>
      </w:r>
      <w:r w:rsidRPr="00B023F5">
        <w:rPr>
          <w:rFonts w:cs="Arial"/>
          <w:spacing w:val="-6"/>
        </w:rPr>
        <w:t xml:space="preserve"> </w:t>
      </w:r>
    </w:p>
    <w:p w14:paraId="6DDC7108" w14:textId="77777777" w:rsidR="00B023F5" w:rsidRDefault="00B023F5" w:rsidP="00B023F5">
      <w:pPr>
        <w:pStyle w:val="BodyText"/>
        <w:numPr>
          <w:ilvl w:val="1"/>
          <w:numId w:val="3"/>
        </w:numPr>
        <w:ind w:left="1080" w:right="144"/>
        <w:rPr>
          <w:rFonts w:cs="Arial"/>
        </w:rPr>
      </w:pPr>
      <w:r w:rsidRPr="00B023F5">
        <w:rPr>
          <w:rFonts w:cs="Arial"/>
        </w:rPr>
        <w:t>AHVAP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will</w:t>
      </w:r>
      <w:r>
        <w:rPr>
          <w:rFonts w:cs="Arial"/>
        </w:rPr>
        <w:t xml:space="preserve"> </w:t>
      </w:r>
      <w:r w:rsidRPr="00B023F5">
        <w:rPr>
          <w:rFonts w:cs="Arial"/>
        </w:rPr>
        <w:t>negotiate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in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its</w:t>
      </w:r>
      <w:r w:rsidRPr="00B023F5">
        <w:rPr>
          <w:rFonts w:cs="Arial"/>
          <w:w w:val="99"/>
        </w:rPr>
        <w:t xml:space="preserve"> </w:t>
      </w:r>
      <w:r w:rsidRPr="00B023F5">
        <w:rPr>
          <w:rFonts w:cs="Arial"/>
          <w:spacing w:val="-1"/>
        </w:rPr>
        <w:t>transactions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and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arrangements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with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other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members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arrangement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such</w:t>
      </w:r>
      <w:r w:rsidRPr="00B023F5">
        <w:rPr>
          <w:rFonts w:cs="Arial"/>
          <w:spacing w:val="22"/>
          <w:w w:val="99"/>
        </w:rPr>
        <w:t xml:space="preserve"> </w:t>
      </w:r>
      <w:r w:rsidRPr="00B023F5">
        <w:rPr>
          <w:rFonts w:cs="Arial"/>
        </w:rPr>
        <w:t>terms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and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safeguards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adequate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ensure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that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AHVAP’s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exempt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status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is</w:t>
      </w:r>
      <w:r w:rsidRPr="00B023F5">
        <w:rPr>
          <w:rFonts w:cs="Arial"/>
          <w:spacing w:val="-7"/>
        </w:rPr>
        <w:t xml:space="preserve"> </w:t>
      </w:r>
      <w:r>
        <w:rPr>
          <w:rFonts w:cs="Arial"/>
        </w:rPr>
        <w:t>protected.</w:t>
      </w:r>
    </w:p>
    <w:p w14:paraId="6DDC7109" w14:textId="77777777" w:rsidR="00B023F5" w:rsidRPr="00B023F5" w:rsidRDefault="00B023F5" w:rsidP="00B023F5">
      <w:pPr>
        <w:pStyle w:val="BodyText"/>
        <w:numPr>
          <w:ilvl w:val="1"/>
          <w:numId w:val="3"/>
        </w:numPr>
        <w:ind w:left="1080" w:right="144"/>
        <w:rPr>
          <w:rFonts w:cs="Arial"/>
        </w:rPr>
      </w:pPr>
      <w:r w:rsidRPr="00B023F5">
        <w:rPr>
          <w:rFonts w:cs="Arial"/>
        </w:rPr>
        <w:t>AHVAP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will</w:t>
      </w:r>
      <w:r>
        <w:rPr>
          <w:rFonts w:cs="Arial"/>
        </w:rPr>
        <w:t xml:space="preserve"> </w:t>
      </w:r>
      <w:r w:rsidRPr="00B023F5">
        <w:rPr>
          <w:rFonts w:cs="Arial"/>
        </w:rPr>
        <w:t>take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steps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safeguard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AHVAP’s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exempt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status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with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respect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21"/>
          <w:w w:val="99"/>
        </w:rPr>
        <w:t xml:space="preserve"> </w:t>
      </w:r>
      <w:r w:rsidRPr="00B023F5">
        <w:rPr>
          <w:rFonts w:cs="Arial"/>
        </w:rPr>
        <w:t>arrangement.</w:t>
      </w:r>
      <w:r w:rsidRPr="00B023F5">
        <w:rPr>
          <w:rFonts w:cs="Arial"/>
          <w:spacing w:val="-10"/>
        </w:rPr>
        <w:t xml:space="preserve"> </w:t>
      </w:r>
      <w:r w:rsidRPr="00B023F5">
        <w:rPr>
          <w:rFonts w:cs="Arial"/>
        </w:rPr>
        <w:t>Some</w:t>
      </w:r>
      <w:r w:rsidRPr="00B023F5">
        <w:rPr>
          <w:rFonts w:cs="Arial"/>
          <w:spacing w:val="-10"/>
        </w:rPr>
        <w:t xml:space="preserve"> </w:t>
      </w:r>
      <w:r w:rsidRPr="00B023F5">
        <w:rPr>
          <w:rFonts w:cs="Arial"/>
        </w:rPr>
        <w:t>examples</w:t>
      </w:r>
      <w:r w:rsidRPr="00B023F5">
        <w:rPr>
          <w:rFonts w:cs="Arial"/>
          <w:spacing w:val="-10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  <w:spacing w:val="-1"/>
        </w:rPr>
        <w:t>safeguards</w:t>
      </w:r>
      <w:r w:rsidRPr="00B023F5">
        <w:rPr>
          <w:rFonts w:cs="Arial"/>
          <w:spacing w:val="-10"/>
        </w:rPr>
        <w:t xml:space="preserve"> </w:t>
      </w:r>
      <w:r w:rsidRPr="00B023F5">
        <w:rPr>
          <w:rFonts w:cs="Arial"/>
        </w:rPr>
        <w:t>include:</w:t>
      </w:r>
    </w:p>
    <w:p w14:paraId="6DDC710A" w14:textId="77777777" w:rsidR="00B023F5" w:rsidRPr="00B023F5" w:rsidRDefault="00B023F5" w:rsidP="00B023F5">
      <w:pPr>
        <w:pStyle w:val="BodyText"/>
        <w:numPr>
          <w:ilvl w:val="2"/>
          <w:numId w:val="2"/>
        </w:numPr>
        <w:ind w:left="1440" w:right="229" w:hanging="360"/>
        <w:rPr>
          <w:rFonts w:cs="Arial"/>
        </w:rPr>
      </w:pPr>
      <w:r>
        <w:rPr>
          <w:rFonts w:cs="Arial"/>
        </w:rPr>
        <w:t>C</w:t>
      </w:r>
      <w:r w:rsidRPr="00B023F5">
        <w:rPr>
          <w:rFonts w:cs="Arial"/>
        </w:rPr>
        <w:t>ontrol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over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arrangement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sufficient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ensure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that</w:t>
      </w:r>
      <w:r w:rsidRPr="00B023F5">
        <w:rPr>
          <w:rFonts w:cs="Arial"/>
          <w:spacing w:val="-5"/>
        </w:rPr>
        <w:t xml:space="preserve"> </w:t>
      </w:r>
      <w:r w:rsidRPr="00B023F5">
        <w:rPr>
          <w:rFonts w:cs="Arial"/>
        </w:rPr>
        <w:t>it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furthers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23"/>
          <w:w w:val="99"/>
        </w:rPr>
        <w:t xml:space="preserve"> </w:t>
      </w:r>
      <w:r w:rsidRPr="00B023F5">
        <w:rPr>
          <w:rFonts w:cs="Arial"/>
        </w:rPr>
        <w:t>exempt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purpose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of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  <w:spacing w:val="-1"/>
        </w:rPr>
        <w:t>organization;</w:t>
      </w:r>
    </w:p>
    <w:p w14:paraId="6DDC710B" w14:textId="77777777" w:rsidR="00B023F5" w:rsidRDefault="00B023F5" w:rsidP="00B023F5">
      <w:pPr>
        <w:pStyle w:val="BodyText"/>
        <w:numPr>
          <w:ilvl w:val="2"/>
          <w:numId w:val="2"/>
        </w:numPr>
        <w:tabs>
          <w:tab w:val="left" w:pos="1146"/>
        </w:tabs>
        <w:ind w:left="1440" w:right="950" w:hanging="360"/>
        <w:rPr>
          <w:rFonts w:cs="Arial"/>
        </w:rPr>
      </w:pPr>
      <w:r>
        <w:rPr>
          <w:rFonts w:cs="Arial"/>
        </w:rPr>
        <w:t>R</w:t>
      </w:r>
      <w:r w:rsidRPr="00B023F5">
        <w:rPr>
          <w:rFonts w:cs="Arial"/>
        </w:rPr>
        <w:t>equirements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that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arrangement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gives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priority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to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exempt</w:t>
      </w:r>
      <w:r w:rsidRPr="00B023F5">
        <w:rPr>
          <w:rFonts w:cs="Arial"/>
          <w:spacing w:val="21"/>
          <w:w w:val="99"/>
        </w:rPr>
        <w:t xml:space="preserve"> </w:t>
      </w:r>
      <w:r w:rsidRPr="00B023F5">
        <w:rPr>
          <w:rFonts w:cs="Arial"/>
        </w:rPr>
        <w:t>purposes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over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maximizing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profits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for</w:t>
      </w:r>
      <w:r w:rsidRPr="00B023F5">
        <w:rPr>
          <w:rFonts w:cs="Arial"/>
          <w:spacing w:val="-9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8"/>
        </w:rPr>
        <w:t xml:space="preserve"> </w:t>
      </w:r>
      <w:r w:rsidRPr="00B023F5">
        <w:rPr>
          <w:rFonts w:cs="Arial"/>
        </w:rPr>
        <w:t>other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participants;</w:t>
      </w:r>
    </w:p>
    <w:p w14:paraId="6DDC710C" w14:textId="77777777" w:rsidR="00B023F5" w:rsidRDefault="00B023F5" w:rsidP="00B023F5">
      <w:pPr>
        <w:pStyle w:val="BodyText"/>
        <w:numPr>
          <w:ilvl w:val="2"/>
          <w:numId w:val="2"/>
        </w:numPr>
        <w:tabs>
          <w:tab w:val="left" w:pos="1146"/>
        </w:tabs>
        <w:ind w:left="1440" w:right="950" w:hanging="360"/>
        <w:rPr>
          <w:rFonts w:cs="Arial"/>
        </w:rPr>
      </w:pPr>
      <w:r>
        <w:rPr>
          <w:rFonts w:cs="Arial"/>
        </w:rPr>
        <w:t>T</w:t>
      </w:r>
      <w:r w:rsidRPr="00B023F5">
        <w:rPr>
          <w:rFonts w:cs="Arial"/>
        </w:rPr>
        <w:t>hat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the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venture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or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arrangement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</w:rPr>
        <w:t>not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engage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in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activities</w:t>
      </w:r>
      <w:r w:rsidRPr="00B023F5">
        <w:rPr>
          <w:rFonts w:cs="Arial"/>
          <w:spacing w:val="-7"/>
        </w:rPr>
        <w:t xml:space="preserve"> </w:t>
      </w:r>
      <w:r w:rsidRPr="00B023F5">
        <w:rPr>
          <w:rFonts w:cs="Arial"/>
          <w:spacing w:val="-1"/>
        </w:rPr>
        <w:t>that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</w:rPr>
        <w:t>would</w:t>
      </w:r>
      <w:r w:rsidRPr="00B023F5">
        <w:rPr>
          <w:rFonts w:cs="Arial"/>
          <w:spacing w:val="-6"/>
        </w:rPr>
        <w:t xml:space="preserve"> </w:t>
      </w:r>
      <w:r w:rsidRPr="00B023F5">
        <w:rPr>
          <w:rFonts w:cs="Arial"/>
          <w:spacing w:val="-1"/>
        </w:rPr>
        <w:t>jeopardize</w:t>
      </w:r>
      <w:r w:rsidRPr="00B023F5">
        <w:rPr>
          <w:rFonts w:cs="Arial"/>
          <w:spacing w:val="27"/>
          <w:w w:val="99"/>
        </w:rPr>
        <w:t xml:space="preserve"> </w:t>
      </w:r>
      <w:r w:rsidRPr="00B023F5">
        <w:rPr>
          <w:rFonts w:cs="Arial"/>
        </w:rPr>
        <w:t>AHVAP’s</w:t>
      </w:r>
      <w:r w:rsidRPr="00B023F5">
        <w:rPr>
          <w:rFonts w:cs="Arial"/>
          <w:spacing w:val="-12"/>
        </w:rPr>
        <w:t xml:space="preserve"> </w:t>
      </w:r>
      <w:r w:rsidRPr="00B023F5">
        <w:rPr>
          <w:rFonts w:cs="Arial"/>
        </w:rPr>
        <w:t>exemption;</w:t>
      </w:r>
      <w:r w:rsidRPr="00B023F5">
        <w:rPr>
          <w:rFonts w:cs="Arial"/>
          <w:spacing w:val="-12"/>
        </w:rPr>
        <w:t xml:space="preserve"> </w:t>
      </w:r>
      <w:r w:rsidRPr="00B023F5">
        <w:rPr>
          <w:rFonts w:cs="Arial"/>
        </w:rPr>
        <w:t>and</w:t>
      </w:r>
    </w:p>
    <w:p w14:paraId="6DDC710E" w14:textId="23F05BC2" w:rsidR="008F567F" w:rsidRPr="00C558BC" w:rsidRDefault="00B023F5" w:rsidP="00B023F5">
      <w:pPr>
        <w:pStyle w:val="BodyText"/>
        <w:numPr>
          <w:ilvl w:val="2"/>
          <w:numId w:val="2"/>
        </w:numPr>
        <w:ind w:left="1440" w:right="950" w:hanging="360"/>
      </w:pPr>
      <w:r>
        <w:rPr>
          <w:rFonts w:cs="Arial"/>
        </w:rPr>
        <w:t>T</w:t>
      </w:r>
      <w:r w:rsidRPr="00B023F5">
        <w:rPr>
          <w:rFonts w:cs="Arial"/>
        </w:rPr>
        <w:t>hat</w:t>
      </w:r>
      <w:r w:rsidRPr="00C558BC">
        <w:rPr>
          <w:rFonts w:cs="Arial"/>
          <w:spacing w:val="-6"/>
        </w:rPr>
        <w:t xml:space="preserve"> </w:t>
      </w:r>
      <w:r w:rsidRPr="00B023F5">
        <w:rPr>
          <w:rFonts w:cs="Arial"/>
        </w:rPr>
        <w:t>all</w:t>
      </w:r>
      <w:r w:rsidRPr="00C558BC">
        <w:rPr>
          <w:rFonts w:cs="Arial"/>
          <w:spacing w:val="-5"/>
        </w:rPr>
        <w:t xml:space="preserve"> </w:t>
      </w:r>
      <w:r w:rsidRPr="00B023F5">
        <w:rPr>
          <w:rFonts w:cs="Arial"/>
        </w:rPr>
        <w:t>contracts</w:t>
      </w:r>
      <w:r w:rsidRPr="00C558BC">
        <w:rPr>
          <w:rFonts w:cs="Arial"/>
          <w:spacing w:val="-5"/>
        </w:rPr>
        <w:t xml:space="preserve"> </w:t>
      </w:r>
      <w:r w:rsidRPr="00C558BC">
        <w:rPr>
          <w:rFonts w:cs="Arial"/>
          <w:spacing w:val="-1"/>
        </w:rPr>
        <w:t>entered</w:t>
      </w:r>
      <w:r w:rsidRPr="00C558BC">
        <w:rPr>
          <w:rFonts w:cs="Arial"/>
          <w:spacing w:val="-5"/>
        </w:rPr>
        <w:t xml:space="preserve"> </w:t>
      </w:r>
      <w:r w:rsidRPr="00B023F5">
        <w:rPr>
          <w:rFonts w:cs="Arial"/>
        </w:rPr>
        <w:t>into</w:t>
      </w:r>
      <w:r w:rsidRPr="00C558BC">
        <w:rPr>
          <w:rFonts w:cs="Arial"/>
          <w:spacing w:val="-5"/>
        </w:rPr>
        <w:t xml:space="preserve"> </w:t>
      </w:r>
      <w:r w:rsidRPr="00C558BC">
        <w:rPr>
          <w:rFonts w:cs="Arial"/>
          <w:spacing w:val="-1"/>
        </w:rPr>
        <w:t>with</w:t>
      </w:r>
      <w:r w:rsidRPr="00C558BC">
        <w:rPr>
          <w:rFonts w:cs="Arial"/>
          <w:spacing w:val="-6"/>
        </w:rPr>
        <w:t xml:space="preserve"> </w:t>
      </w:r>
      <w:r w:rsidRPr="00B023F5">
        <w:rPr>
          <w:rFonts w:cs="Arial"/>
        </w:rPr>
        <w:t>the</w:t>
      </w:r>
      <w:r w:rsidRPr="00C558BC">
        <w:rPr>
          <w:rFonts w:cs="Arial"/>
          <w:spacing w:val="-5"/>
        </w:rPr>
        <w:t xml:space="preserve"> </w:t>
      </w:r>
      <w:r w:rsidRPr="00B023F5">
        <w:rPr>
          <w:rFonts w:cs="Arial"/>
        </w:rPr>
        <w:t>organization</w:t>
      </w:r>
      <w:r w:rsidRPr="00C558BC">
        <w:rPr>
          <w:rFonts w:cs="Arial"/>
          <w:spacing w:val="-5"/>
        </w:rPr>
        <w:t xml:space="preserve"> </w:t>
      </w:r>
      <w:r w:rsidRPr="00B023F5">
        <w:rPr>
          <w:rFonts w:cs="Arial"/>
        </w:rPr>
        <w:t>be</w:t>
      </w:r>
      <w:r w:rsidRPr="00C558BC">
        <w:rPr>
          <w:rFonts w:cs="Arial"/>
          <w:spacing w:val="-5"/>
        </w:rPr>
        <w:t xml:space="preserve"> </w:t>
      </w:r>
      <w:r w:rsidRPr="00B023F5">
        <w:rPr>
          <w:rFonts w:cs="Arial"/>
        </w:rPr>
        <w:t>on</w:t>
      </w:r>
      <w:r w:rsidRPr="00C558BC">
        <w:rPr>
          <w:rFonts w:cs="Arial"/>
          <w:spacing w:val="-6"/>
        </w:rPr>
        <w:t xml:space="preserve"> </w:t>
      </w:r>
      <w:r w:rsidRPr="00B023F5">
        <w:rPr>
          <w:rFonts w:cs="Arial"/>
        </w:rPr>
        <w:t>terms</w:t>
      </w:r>
      <w:r w:rsidRPr="00C558BC">
        <w:rPr>
          <w:rFonts w:cs="Arial"/>
          <w:spacing w:val="-5"/>
        </w:rPr>
        <w:t xml:space="preserve"> </w:t>
      </w:r>
      <w:r w:rsidRPr="00B023F5">
        <w:rPr>
          <w:rFonts w:cs="Arial"/>
        </w:rPr>
        <w:t>that</w:t>
      </w:r>
      <w:r w:rsidRPr="00C558BC">
        <w:rPr>
          <w:rFonts w:cs="Arial"/>
          <w:spacing w:val="-6"/>
        </w:rPr>
        <w:t xml:space="preserve"> </w:t>
      </w:r>
      <w:r w:rsidRPr="00B023F5">
        <w:rPr>
          <w:rFonts w:cs="Arial"/>
        </w:rPr>
        <w:t>are</w:t>
      </w:r>
      <w:r w:rsidRPr="00C558BC">
        <w:rPr>
          <w:rFonts w:cs="Arial"/>
          <w:spacing w:val="-5"/>
        </w:rPr>
        <w:t xml:space="preserve"> </w:t>
      </w:r>
      <w:r w:rsidRPr="00B023F5">
        <w:rPr>
          <w:rFonts w:cs="Arial"/>
        </w:rPr>
        <w:t>arm’s</w:t>
      </w:r>
      <w:r w:rsidRPr="00C558BC">
        <w:rPr>
          <w:rFonts w:cs="Arial"/>
          <w:spacing w:val="29"/>
          <w:w w:val="99"/>
        </w:rPr>
        <w:t xml:space="preserve"> </w:t>
      </w:r>
      <w:r w:rsidRPr="00B023F5">
        <w:rPr>
          <w:rFonts w:cs="Arial"/>
        </w:rPr>
        <w:t>length</w:t>
      </w:r>
      <w:r w:rsidRPr="00C558BC">
        <w:rPr>
          <w:rFonts w:cs="Arial"/>
          <w:spacing w:val="-7"/>
        </w:rPr>
        <w:t xml:space="preserve"> </w:t>
      </w:r>
      <w:r w:rsidRPr="00B023F5">
        <w:rPr>
          <w:rFonts w:cs="Arial"/>
        </w:rPr>
        <w:t>or</w:t>
      </w:r>
      <w:r w:rsidRPr="00C558BC">
        <w:rPr>
          <w:rFonts w:cs="Arial"/>
          <w:spacing w:val="-6"/>
        </w:rPr>
        <w:t xml:space="preserve"> </w:t>
      </w:r>
      <w:r w:rsidRPr="00B023F5">
        <w:rPr>
          <w:rFonts w:cs="Arial"/>
        </w:rPr>
        <w:t>more</w:t>
      </w:r>
      <w:r w:rsidRPr="00C558BC">
        <w:rPr>
          <w:rFonts w:cs="Arial"/>
          <w:spacing w:val="-7"/>
        </w:rPr>
        <w:t xml:space="preserve"> </w:t>
      </w:r>
      <w:r w:rsidRPr="00B023F5">
        <w:rPr>
          <w:rFonts w:cs="Arial"/>
        </w:rPr>
        <w:t>favorable</w:t>
      </w:r>
      <w:r w:rsidRPr="00C558BC">
        <w:rPr>
          <w:rFonts w:cs="Arial"/>
          <w:spacing w:val="-6"/>
        </w:rPr>
        <w:t xml:space="preserve"> </w:t>
      </w:r>
      <w:r w:rsidRPr="00B023F5">
        <w:rPr>
          <w:rFonts w:cs="Arial"/>
        </w:rPr>
        <w:t>to</w:t>
      </w:r>
      <w:r w:rsidRPr="00C558BC">
        <w:rPr>
          <w:rFonts w:cs="Arial"/>
          <w:spacing w:val="-6"/>
        </w:rPr>
        <w:t xml:space="preserve"> </w:t>
      </w:r>
      <w:r w:rsidRPr="00B023F5">
        <w:rPr>
          <w:rFonts w:cs="Arial"/>
        </w:rPr>
        <w:t>AHVAP.</w:t>
      </w:r>
      <w:r w:rsidR="00810740">
        <w:rPr>
          <w:rFonts w:cs="Arial"/>
        </w:rPr>
        <w:br/>
      </w:r>
    </w:p>
    <w:p w14:paraId="6DDC710F" w14:textId="55328BA8" w:rsidR="00810740" w:rsidRDefault="00D2387D" w:rsidP="00810740">
      <w:pPr>
        <w:tabs>
          <w:tab w:val="left" w:leader="underscore" w:pos="4320"/>
        </w:tabs>
        <w:spacing w:after="0"/>
      </w:pPr>
      <w:r>
        <w:rPr>
          <w:u w:val="single"/>
        </w:rPr>
        <w:t>02/2022</w:t>
      </w:r>
      <w:r w:rsidR="00810740">
        <w:rPr>
          <w:u w:val="single"/>
        </w:rPr>
        <w:t>________________________________</w:t>
      </w:r>
      <w:r w:rsidR="00810740">
        <w:t xml:space="preserve"> (MM/YYYY)</w:t>
      </w:r>
    </w:p>
    <w:p w14:paraId="6DDC7110" w14:textId="77777777" w:rsidR="00810740" w:rsidRDefault="00810740" w:rsidP="00810740">
      <w:pPr>
        <w:tabs>
          <w:tab w:val="left" w:pos="90"/>
          <w:tab w:val="left" w:leader="underscore" w:pos="4320"/>
        </w:tabs>
        <w:spacing w:after="0"/>
      </w:pPr>
      <w:r>
        <w:t>Revision/Review Approval Date</w:t>
      </w:r>
    </w:p>
    <w:p w14:paraId="6DDC7111" w14:textId="77777777" w:rsidR="00810740" w:rsidRDefault="00810740" w:rsidP="00810740">
      <w:pPr>
        <w:tabs>
          <w:tab w:val="left" w:leader="underscore" w:pos="4320"/>
        </w:tabs>
        <w:spacing w:after="0"/>
      </w:pPr>
    </w:p>
    <w:p w14:paraId="6DDC7112" w14:textId="47D71B78" w:rsidR="00810740" w:rsidRDefault="000A6666" w:rsidP="00810740">
      <w:pPr>
        <w:tabs>
          <w:tab w:val="left" w:pos="1080"/>
          <w:tab w:val="left" w:leader="underscore" w:pos="4320"/>
        </w:tabs>
        <w:spacing w:after="0"/>
      </w:pPr>
      <w:r>
        <w:rPr>
          <w:u w:val="single"/>
        </w:rPr>
        <w:t>10/2016</w:t>
      </w:r>
      <w:r w:rsidR="00810740">
        <w:rPr>
          <w:u w:val="single"/>
        </w:rPr>
        <w:t xml:space="preserve">                                                                </w:t>
      </w:r>
      <w:r w:rsidR="00810740">
        <w:t>(MM/YYYY)</w:t>
      </w:r>
    </w:p>
    <w:p w14:paraId="6DDC7128" w14:textId="6E53EA31" w:rsidR="00B023F5" w:rsidRPr="00B023F5" w:rsidRDefault="00810740" w:rsidP="00C558BC">
      <w:pPr>
        <w:tabs>
          <w:tab w:val="left" w:leader="underscore" w:pos="4320"/>
        </w:tabs>
        <w:spacing w:after="0"/>
        <w:rPr>
          <w:sz w:val="22"/>
          <w:szCs w:val="22"/>
        </w:rPr>
      </w:pPr>
      <w:r>
        <w:t>Date approved by AHVAP Board of Directors</w:t>
      </w:r>
    </w:p>
    <w:sectPr w:rsidR="00B023F5" w:rsidRPr="00B023F5" w:rsidSect="000D5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B454" w14:textId="77777777" w:rsidR="009664E1" w:rsidRDefault="009664E1" w:rsidP="008F567F">
      <w:pPr>
        <w:spacing w:after="0" w:line="240" w:lineRule="auto"/>
      </w:pPr>
      <w:r>
        <w:separator/>
      </w:r>
    </w:p>
  </w:endnote>
  <w:endnote w:type="continuationSeparator" w:id="0">
    <w:p w14:paraId="04C26937" w14:textId="77777777" w:rsidR="009664E1" w:rsidRDefault="009664E1" w:rsidP="008F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928F" w14:textId="77777777" w:rsidR="003522F7" w:rsidRDefault="0035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A845" w14:textId="77777777" w:rsidR="003522F7" w:rsidRDefault="00352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D736" w14:textId="77777777" w:rsidR="003522F7" w:rsidRDefault="0035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DB5D" w14:textId="77777777" w:rsidR="009664E1" w:rsidRDefault="009664E1" w:rsidP="008F567F">
      <w:pPr>
        <w:spacing w:after="0" w:line="240" w:lineRule="auto"/>
      </w:pPr>
      <w:r>
        <w:separator/>
      </w:r>
    </w:p>
  </w:footnote>
  <w:footnote w:type="continuationSeparator" w:id="0">
    <w:p w14:paraId="4B2F70EA" w14:textId="77777777" w:rsidR="009664E1" w:rsidRDefault="009664E1" w:rsidP="008F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6385" w14:textId="77777777" w:rsidR="003522F7" w:rsidRDefault="0035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712D" w14:textId="77777777" w:rsidR="008F567F" w:rsidRDefault="008F567F" w:rsidP="008F567F">
    <w:pPr>
      <w:pStyle w:val="Header"/>
    </w:pPr>
    <w:r>
      <w:rPr>
        <w:noProof/>
      </w:rPr>
      <w:drawing>
        <wp:inline distT="0" distB="0" distL="0" distR="0" wp14:anchorId="6DDC712F" wp14:editId="6DDC7130">
          <wp:extent cx="1409700" cy="3690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l AHVA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897" cy="39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C712E" w14:textId="77777777" w:rsidR="008F567F" w:rsidRPr="008F567F" w:rsidRDefault="008F567F" w:rsidP="008F567F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EBC5" w14:textId="77777777" w:rsidR="003522F7" w:rsidRDefault="0035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539"/>
    <w:multiLevelType w:val="hybridMultilevel"/>
    <w:tmpl w:val="137E4F46"/>
    <w:lvl w:ilvl="0" w:tplc="04090015">
      <w:start w:val="1"/>
      <w:numFmt w:val="upperLetter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B50BC8"/>
    <w:multiLevelType w:val="hybridMultilevel"/>
    <w:tmpl w:val="4FE0CE84"/>
    <w:lvl w:ilvl="0" w:tplc="4BF0C34E">
      <w:start w:val="2"/>
      <w:numFmt w:val="lowerLetter"/>
      <w:lvlText w:val="(%1)"/>
      <w:lvlJc w:val="left"/>
      <w:pPr>
        <w:ind w:left="120" w:hanging="33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AA6816A">
      <w:start w:val="1"/>
      <w:numFmt w:val="lowerRoman"/>
      <w:lvlText w:val="(%2)"/>
      <w:lvlJc w:val="left"/>
      <w:pPr>
        <w:ind w:left="840" w:hanging="257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5254BDEC">
      <w:start w:val="1"/>
      <w:numFmt w:val="bullet"/>
      <w:lvlText w:val="•"/>
      <w:lvlJc w:val="left"/>
      <w:pPr>
        <w:ind w:left="1731" w:hanging="257"/>
      </w:pPr>
      <w:rPr>
        <w:rFonts w:hint="default"/>
      </w:rPr>
    </w:lvl>
    <w:lvl w:ilvl="3" w:tplc="AF3AF19E">
      <w:start w:val="1"/>
      <w:numFmt w:val="bullet"/>
      <w:lvlText w:val="•"/>
      <w:lvlJc w:val="left"/>
      <w:pPr>
        <w:ind w:left="2622" w:hanging="257"/>
      </w:pPr>
      <w:rPr>
        <w:rFonts w:hint="default"/>
      </w:rPr>
    </w:lvl>
    <w:lvl w:ilvl="4" w:tplc="E5AC791E">
      <w:start w:val="1"/>
      <w:numFmt w:val="bullet"/>
      <w:lvlText w:val="•"/>
      <w:lvlJc w:val="left"/>
      <w:pPr>
        <w:ind w:left="3513" w:hanging="257"/>
      </w:pPr>
      <w:rPr>
        <w:rFonts w:hint="default"/>
      </w:rPr>
    </w:lvl>
    <w:lvl w:ilvl="5" w:tplc="E834D264">
      <w:start w:val="1"/>
      <w:numFmt w:val="bullet"/>
      <w:lvlText w:val="•"/>
      <w:lvlJc w:val="left"/>
      <w:pPr>
        <w:ind w:left="4404" w:hanging="257"/>
      </w:pPr>
      <w:rPr>
        <w:rFonts w:hint="default"/>
      </w:rPr>
    </w:lvl>
    <w:lvl w:ilvl="6" w:tplc="D4705D3C">
      <w:start w:val="1"/>
      <w:numFmt w:val="bullet"/>
      <w:lvlText w:val="•"/>
      <w:lvlJc w:val="left"/>
      <w:pPr>
        <w:ind w:left="5295" w:hanging="257"/>
      </w:pPr>
      <w:rPr>
        <w:rFonts w:hint="default"/>
      </w:rPr>
    </w:lvl>
    <w:lvl w:ilvl="7" w:tplc="35BE1F06">
      <w:start w:val="1"/>
      <w:numFmt w:val="bullet"/>
      <w:lvlText w:val="•"/>
      <w:lvlJc w:val="left"/>
      <w:pPr>
        <w:ind w:left="6186" w:hanging="257"/>
      </w:pPr>
      <w:rPr>
        <w:rFonts w:hint="default"/>
      </w:rPr>
    </w:lvl>
    <w:lvl w:ilvl="8" w:tplc="8306DC3C">
      <w:start w:val="1"/>
      <w:numFmt w:val="bullet"/>
      <w:lvlText w:val="•"/>
      <w:lvlJc w:val="left"/>
      <w:pPr>
        <w:ind w:left="7077" w:hanging="257"/>
      </w:pPr>
      <w:rPr>
        <w:rFonts w:hint="default"/>
      </w:rPr>
    </w:lvl>
  </w:abstractNum>
  <w:abstractNum w:abstractNumId="2" w15:restartNumberingAfterBreak="0">
    <w:nsid w:val="39177953"/>
    <w:multiLevelType w:val="hybridMultilevel"/>
    <w:tmpl w:val="14601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40CBB"/>
    <w:multiLevelType w:val="hybridMultilevel"/>
    <w:tmpl w:val="9B66177A"/>
    <w:lvl w:ilvl="0" w:tplc="D6900450">
      <w:start w:val="1"/>
      <w:numFmt w:val="upperLetter"/>
      <w:lvlText w:val="%1."/>
      <w:lvlJc w:val="left"/>
      <w:pPr>
        <w:ind w:left="120" w:hanging="33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840" w:hanging="331"/>
        <w:jc w:val="left"/>
      </w:pPr>
      <w:rPr>
        <w:rFonts w:hint="default"/>
        <w:w w:val="99"/>
        <w:sz w:val="22"/>
        <w:szCs w:val="22"/>
      </w:rPr>
    </w:lvl>
    <w:lvl w:ilvl="2" w:tplc="D624C908">
      <w:start w:val="1"/>
      <w:numFmt w:val="bullet"/>
      <w:lvlText w:val="•"/>
      <w:lvlJc w:val="left"/>
      <w:pPr>
        <w:ind w:left="1731" w:hanging="331"/>
      </w:pPr>
      <w:rPr>
        <w:rFonts w:hint="default"/>
      </w:rPr>
    </w:lvl>
    <w:lvl w:ilvl="3" w:tplc="8D0EBD58">
      <w:start w:val="1"/>
      <w:numFmt w:val="bullet"/>
      <w:lvlText w:val="−"/>
      <w:lvlJc w:val="left"/>
      <w:pPr>
        <w:ind w:left="2622" w:hanging="331"/>
      </w:pPr>
      <w:rPr>
        <w:rFonts w:ascii="Palatino Linotype" w:hAnsi="Palatino Linotype" w:hint="default"/>
        <w:color w:val="auto"/>
        <w:sz w:val="20"/>
      </w:rPr>
    </w:lvl>
    <w:lvl w:ilvl="4" w:tplc="B238A0BE">
      <w:start w:val="1"/>
      <w:numFmt w:val="bullet"/>
      <w:lvlText w:val="•"/>
      <w:lvlJc w:val="left"/>
      <w:pPr>
        <w:ind w:left="3513" w:hanging="331"/>
      </w:pPr>
      <w:rPr>
        <w:rFonts w:hint="default"/>
      </w:rPr>
    </w:lvl>
    <w:lvl w:ilvl="5" w:tplc="329607FE">
      <w:start w:val="1"/>
      <w:numFmt w:val="bullet"/>
      <w:lvlText w:val="•"/>
      <w:lvlJc w:val="left"/>
      <w:pPr>
        <w:ind w:left="4404" w:hanging="331"/>
      </w:pPr>
      <w:rPr>
        <w:rFonts w:hint="default"/>
      </w:rPr>
    </w:lvl>
    <w:lvl w:ilvl="6" w:tplc="E05830E2">
      <w:start w:val="1"/>
      <w:numFmt w:val="bullet"/>
      <w:lvlText w:val="•"/>
      <w:lvlJc w:val="left"/>
      <w:pPr>
        <w:ind w:left="5295" w:hanging="331"/>
      </w:pPr>
      <w:rPr>
        <w:rFonts w:hint="default"/>
      </w:rPr>
    </w:lvl>
    <w:lvl w:ilvl="7" w:tplc="93C69BE4">
      <w:start w:val="1"/>
      <w:numFmt w:val="bullet"/>
      <w:lvlText w:val="•"/>
      <w:lvlJc w:val="left"/>
      <w:pPr>
        <w:ind w:left="6186" w:hanging="331"/>
      </w:pPr>
      <w:rPr>
        <w:rFonts w:hint="default"/>
      </w:rPr>
    </w:lvl>
    <w:lvl w:ilvl="8" w:tplc="16BED4EA">
      <w:start w:val="1"/>
      <w:numFmt w:val="bullet"/>
      <w:lvlText w:val="•"/>
      <w:lvlJc w:val="left"/>
      <w:pPr>
        <w:ind w:left="7077" w:hanging="33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jazMLWwMDO2NDdR0lEKTi0uzszPAykwqgUAEpUsQCwAAAA="/>
  </w:docVars>
  <w:rsids>
    <w:rsidRoot w:val="008F567F"/>
    <w:rsid w:val="000003CD"/>
    <w:rsid w:val="00002FCA"/>
    <w:rsid w:val="00054510"/>
    <w:rsid w:val="00054ABC"/>
    <w:rsid w:val="000A6666"/>
    <w:rsid w:val="000D5915"/>
    <w:rsid w:val="002546A0"/>
    <w:rsid w:val="00283237"/>
    <w:rsid w:val="003522F7"/>
    <w:rsid w:val="003714F2"/>
    <w:rsid w:val="0038044D"/>
    <w:rsid w:val="00460788"/>
    <w:rsid w:val="005315C8"/>
    <w:rsid w:val="005E57E4"/>
    <w:rsid w:val="00733DC2"/>
    <w:rsid w:val="00764E59"/>
    <w:rsid w:val="00810740"/>
    <w:rsid w:val="00832DC2"/>
    <w:rsid w:val="008C4DDB"/>
    <w:rsid w:val="008F567F"/>
    <w:rsid w:val="009664E1"/>
    <w:rsid w:val="009E12CC"/>
    <w:rsid w:val="009F0938"/>
    <w:rsid w:val="00A265F8"/>
    <w:rsid w:val="00A860DA"/>
    <w:rsid w:val="00AB733D"/>
    <w:rsid w:val="00AD1D7B"/>
    <w:rsid w:val="00AE4F11"/>
    <w:rsid w:val="00AE6978"/>
    <w:rsid w:val="00B023F5"/>
    <w:rsid w:val="00B454FB"/>
    <w:rsid w:val="00C558BC"/>
    <w:rsid w:val="00D2387D"/>
    <w:rsid w:val="00D7768C"/>
    <w:rsid w:val="00DC25E6"/>
    <w:rsid w:val="00F21E09"/>
    <w:rsid w:val="00FA16D6"/>
    <w:rsid w:val="00FB767C"/>
    <w:rsid w:val="00FC6538"/>
    <w:rsid w:val="00F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C70F5"/>
  <w15:chartTrackingRefBased/>
  <w15:docId w15:val="{88606F97-3252-4BF9-A414-2E6B730E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CD"/>
  </w:style>
  <w:style w:type="paragraph" w:styleId="Heading1">
    <w:name w:val="heading 1"/>
    <w:basedOn w:val="Normal"/>
    <w:next w:val="Normal"/>
    <w:link w:val="Heading1Char"/>
    <w:uiPriority w:val="1"/>
    <w:qFormat/>
    <w:rsid w:val="000003CD"/>
    <w:pPr>
      <w:keepNext/>
      <w:keepLines/>
      <w:spacing w:before="240" w:after="0"/>
      <w:outlineLvl w:val="0"/>
    </w:pPr>
    <w:rPr>
      <w:rFonts w:eastAsiaTheme="majorEastAsia" w:cstheme="majorBidi"/>
      <w:color w:val="3F404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3CD"/>
    <w:pPr>
      <w:keepNext/>
      <w:keepLines/>
      <w:spacing w:before="40" w:after="0"/>
      <w:outlineLvl w:val="1"/>
    </w:pPr>
    <w:rPr>
      <w:rFonts w:eastAsiaTheme="majorEastAsia" w:cstheme="majorBidi"/>
      <w:color w:val="3F404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03CD"/>
    <w:pPr>
      <w:keepNext/>
      <w:keepLines/>
      <w:spacing w:before="40" w:after="0"/>
      <w:outlineLvl w:val="2"/>
    </w:pPr>
    <w:rPr>
      <w:rFonts w:eastAsiaTheme="majorEastAsia" w:cstheme="majorBidi"/>
      <w:color w:val="2A2B2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003CD"/>
    <w:rPr>
      <w:rFonts w:ascii="Arial" w:eastAsiaTheme="majorEastAsia" w:hAnsi="Arial" w:cstheme="majorBidi"/>
      <w:color w:val="3F4042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03CD"/>
    <w:rPr>
      <w:rFonts w:ascii="Arial" w:eastAsiaTheme="majorEastAsia" w:hAnsi="Arial" w:cstheme="majorBidi"/>
      <w:color w:val="2A2B2C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3CD"/>
    <w:rPr>
      <w:rFonts w:ascii="Arial" w:eastAsiaTheme="majorEastAsia" w:hAnsi="Arial" w:cstheme="majorBidi"/>
      <w:color w:val="3F4042" w:themeColor="accent1" w:themeShade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003CD"/>
    <w:rPr>
      <w:smallCaps/>
      <w:color w:val="8F9294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0003C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3C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3CD"/>
    <w:pPr>
      <w:numPr>
        <w:ilvl w:val="1"/>
      </w:numPr>
    </w:pPr>
    <w:rPr>
      <w:rFonts w:asciiTheme="minorHAnsi" w:eastAsiaTheme="minorEastAsia" w:hAnsiTheme="minorHAnsi" w:cstheme="minorBidi"/>
      <w:color w:val="8F9294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03CD"/>
    <w:rPr>
      <w:rFonts w:eastAsiaTheme="minorEastAsia"/>
      <w:color w:val="8F9294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003CD"/>
    <w:rPr>
      <w:i/>
      <w:iCs/>
      <w:color w:val="7E8084" w:themeColor="text1" w:themeTint="BF"/>
    </w:rPr>
  </w:style>
  <w:style w:type="character" w:styleId="Emphasis">
    <w:name w:val="Emphasis"/>
    <w:basedOn w:val="DefaultParagraphFont"/>
    <w:uiPriority w:val="20"/>
    <w:qFormat/>
    <w:rsid w:val="000003C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03CD"/>
    <w:rPr>
      <w:i/>
      <w:iCs/>
      <w:color w:val="555759" w:themeColor="accent1"/>
    </w:rPr>
  </w:style>
  <w:style w:type="character" w:styleId="Strong">
    <w:name w:val="Strong"/>
    <w:basedOn w:val="DefaultParagraphFont"/>
    <w:uiPriority w:val="22"/>
    <w:qFormat/>
    <w:rsid w:val="000003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3CD"/>
    <w:pPr>
      <w:spacing w:before="200"/>
      <w:ind w:left="864" w:right="864"/>
      <w:jc w:val="center"/>
    </w:pPr>
    <w:rPr>
      <w:i/>
      <w:iCs/>
      <w:color w:val="7E808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3CD"/>
    <w:rPr>
      <w:rFonts w:ascii="Arial" w:hAnsi="Arial" w:cs="Arial"/>
      <w:i/>
      <w:iCs/>
      <w:color w:val="7E8084" w:themeColor="text1" w:themeTint="BF"/>
      <w:sz w:val="2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3CD"/>
    <w:pPr>
      <w:pBdr>
        <w:top w:val="single" w:sz="4" w:space="10" w:color="555759" w:themeColor="accent1"/>
        <w:bottom w:val="single" w:sz="4" w:space="10" w:color="555759" w:themeColor="accent1"/>
      </w:pBdr>
      <w:spacing w:before="360" w:after="360"/>
      <w:ind w:left="864" w:right="864"/>
      <w:jc w:val="center"/>
    </w:pPr>
    <w:rPr>
      <w:i/>
      <w:iCs/>
      <w:color w:val="55575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3CD"/>
    <w:rPr>
      <w:rFonts w:ascii="Arial" w:hAnsi="Arial" w:cs="Arial"/>
      <w:i/>
      <w:iCs/>
      <w:color w:val="555759" w:themeColor="accent1"/>
      <w:sz w:val="20"/>
      <w:szCs w:val="40"/>
    </w:rPr>
  </w:style>
  <w:style w:type="character" w:styleId="IntenseReference">
    <w:name w:val="Intense Reference"/>
    <w:basedOn w:val="DefaultParagraphFont"/>
    <w:uiPriority w:val="32"/>
    <w:qFormat/>
    <w:rsid w:val="000003CD"/>
    <w:rPr>
      <w:b/>
      <w:bCs/>
      <w:smallCaps/>
      <w:color w:val="55575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0003CD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00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CD"/>
    <w:rPr>
      <w:color w:val="0093C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03CD"/>
    <w:rPr>
      <w:color w:val="8B189B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67F"/>
  </w:style>
  <w:style w:type="paragraph" w:styleId="Footer">
    <w:name w:val="footer"/>
    <w:basedOn w:val="Normal"/>
    <w:link w:val="FooterChar"/>
    <w:uiPriority w:val="99"/>
    <w:unhideWhenUsed/>
    <w:qFormat/>
    <w:rsid w:val="008F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67F"/>
  </w:style>
  <w:style w:type="paragraph" w:styleId="BodyText">
    <w:name w:val="Body Text"/>
    <w:basedOn w:val="Normal"/>
    <w:link w:val="BodyTextChar"/>
    <w:uiPriority w:val="1"/>
    <w:qFormat/>
    <w:rsid w:val="00B023F5"/>
    <w:pPr>
      <w:widowControl w:val="0"/>
      <w:spacing w:after="0" w:line="240" w:lineRule="auto"/>
      <w:ind w:left="120"/>
    </w:pPr>
    <w:rPr>
      <w:rFonts w:eastAsia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023F5"/>
    <w:rPr>
      <w:rFonts w:eastAsia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vigant Brand">
      <a:dk1>
        <a:srgbClr val="555759"/>
      </a:dk1>
      <a:lt1>
        <a:srgbClr val="FFFFFF"/>
      </a:lt1>
      <a:dk2>
        <a:srgbClr val="648C1A"/>
      </a:dk2>
      <a:lt2>
        <a:srgbClr val="95D600"/>
      </a:lt2>
      <a:accent1>
        <a:srgbClr val="555759"/>
      </a:accent1>
      <a:accent2>
        <a:srgbClr val="FFB718"/>
      </a:accent2>
      <a:accent3>
        <a:srgbClr val="E53C2E"/>
      </a:accent3>
      <a:accent4>
        <a:srgbClr val="0093C9"/>
      </a:accent4>
      <a:accent5>
        <a:srgbClr val="8B189B"/>
      </a:accent5>
      <a:accent6>
        <a:srgbClr val="FFFFFF"/>
      </a:accent6>
      <a:hlink>
        <a:srgbClr val="0093C9"/>
      </a:hlink>
      <a:folHlink>
        <a:srgbClr val="8B189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Navigant Consulting, Inc.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Tinker</dc:creator>
  <cp:keywords/>
  <dc:description/>
  <cp:lastModifiedBy>HICKS, SHANNON</cp:lastModifiedBy>
  <cp:revision>5</cp:revision>
  <dcterms:created xsi:type="dcterms:W3CDTF">2022-02-16T22:21:00Z</dcterms:created>
  <dcterms:modified xsi:type="dcterms:W3CDTF">2022-02-18T18:16:00Z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6494a-bfc2-4f46-ab17-24d8fac696a6_Enabled">
    <vt:lpwstr>true</vt:lpwstr>
  </property>
  <property fmtid="{D5CDD505-2E9C-101B-9397-08002B2CF9AE}" pid="3" name="MSIP_Label_d706494a-bfc2-4f46-ab17-24d8fac696a6_SetDate">
    <vt:lpwstr>2022-02-16T22:21:23Z</vt:lpwstr>
  </property>
  <property fmtid="{D5CDD505-2E9C-101B-9397-08002B2CF9AE}" pid="4" name="MSIP_Label_d706494a-bfc2-4f46-ab17-24d8fac696a6_Method">
    <vt:lpwstr>Standard</vt:lpwstr>
  </property>
  <property fmtid="{D5CDD505-2E9C-101B-9397-08002B2CF9AE}" pid="5" name="MSIP_Label_d706494a-bfc2-4f46-ab17-24d8fac696a6_Name">
    <vt:lpwstr>Public2</vt:lpwstr>
  </property>
  <property fmtid="{D5CDD505-2E9C-101B-9397-08002B2CF9AE}" pid="6" name="MSIP_Label_d706494a-bfc2-4f46-ab17-24d8fac696a6_SiteId">
    <vt:lpwstr>b110eddf-23ae-457c-a6f3-734d592b2847</vt:lpwstr>
  </property>
  <property fmtid="{D5CDD505-2E9C-101B-9397-08002B2CF9AE}" pid="7" name="MSIP_Label_d706494a-bfc2-4f46-ab17-24d8fac696a6_ActionId">
    <vt:lpwstr>9225e453-0880-42d9-b941-a2ad7c512c82</vt:lpwstr>
  </property>
  <property fmtid="{D5CDD505-2E9C-101B-9397-08002B2CF9AE}" pid="8" name="MSIP_Label_d706494a-bfc2-4f46-ab17-24d8fac696a6_ContentBits">
    <vt:lpwstr>0</vt:lpwstr>
  </property>
</Properties>
</file>